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F593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A92BFC">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909283B">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bookmarkStart w:id="59" w:name="_GoBack"/>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17.020</w:t>
            </w:r>
            <w:r>
              <w:rPr>
                <w:rFonts w:ascii="黑体" w:hAnsi="黑体" w:eastAsia="黑体"/>
                <w:sz w:val="21"/>
                <w:szCs w:val="21"/>
              </w:rPr>
              <w:fldChar w:fldCharType="end"/>
            </w:r>
            <w:bookmarkEnd w:id="0"/>
            <w:bookmarkEnd w:id="59"/>
          </w:p>
        </w:tc>
      </w:tr>
      <w:tr w14:paraId="2D6B7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C89C90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7708224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CF17AFE">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XJZJXH</w:t>
                  </w:r>
                  <w:r>
                    <w:fldChar w:fldCharType="end"/>
                  </w:r>
                  <w:bookmarkEnd w:id="1"/>
                </w:p>
              </w:tc>
            </w:tr>
          </w:tbl>
          <w:p w14:paraId="0E1742D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Z01</w:t>
            </w:r>
            <w:r>
              <w:rPr>
                <w:rFonts w:ascii="黑体" w:hAnsi="黑体" w:eastAsia="黑体"/>
                <w:sz w:val="21"/>
                <w:szCs w:val="21"/>
              </w:rPr>
              <w:fldChar w:fldCharType="end"/>
            </w:r>
            <w:bookmarkEnd w:id="2"/>
          </w:p>
        </w:tc>
      </w:tr>
    </w:tbl>
    <w:p w14:paraId="0E5EDA16">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新疆维吾尔自治区质量检验检测协会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7E138F5">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XJZJXH</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6530D55">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B33592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BF04738">
      <w:pPr>
        <w:pStyle w:val="50"/>
        <w:framePr w:w="9639" w:h="6976" w:hRule="exact" w:hSpace="0" w:vSpace="0" w:wrap="around" w:hAnchor="page" w:y="6408"/>
        <w:jc w:val="center"/>
        <w:rPr>
          <w:rFonts w:hint="eastAsia" w:ascii="黑体" w:hAnsi="黑体" w:eastAsia="黑体"/>
          <w:b w:val="0"/>
          <w:bCs w:val="0"/>
          <w:w w:val="100"/>
        </w:rPr>
      </w:pPr>
    </w:p>
    <w:p w14:paraId="4BE91A91">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重点排放单位碳计量管理体系建设指南</w:t>
      </w:r>
      <w:r>
        <w:fldChar w:fldCharType="end"/>
      </w:r>
      <w:bookmarkEnd w:id="9"/>
    </w:p>
    <w:p w14:paraId="48AD03D1">
      <w:pPr>
        <w:framePr w:w="9639" w:h="6974" w:hRule="exact" w:wrap="around" w:vAnchor="page" w:hAnchor="page" w:x="1419" w:y="6408" w:anchorLock="1"/>
        <w:ind w:left="-1418"/>
      </w:pPr>
    </w:p>
    <w:p w14:paraId="30784C4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Guidelines for the construction of carbon measurement management system for key emission entities</w:t>
      </w:r>
      <w:r>
        <w:rPr>
          <w:rFonts w:eastAsia="黑体"/>
          <w:szCs w:val="28"/>
        </w:rPr>
        <w:fldChar w:fldCharType="end"/>
      </w:r>
      <w:bookmarkEnd w:id="10"/>
    </w:p>
    <w:p w14:paraId="12133A74">
      <w:pPr>
        <w:framePr w:w="9639" w:h="6974" w:hRule="exact" w:wrap="around" w:vAnchor="page" w:hAnchor="page" w:x="1419" w:y="6408" w:anchorLock="1"/>
        <w:spacing w:line="760" w:lineRule="exact"/>
        <w:ind w:left="-1418"/>
      </w:pPr>
    </w:p>
    <w:p w14:paraId="06B634E2">
      <w:pPr>
        <w:pStyle w:val="125"/>
        <w:framePr w:w="9639" w:h="6974" w:hRule="exact" w:wrap="around" w:vAnchor="page" w:hAnchor="page" w:x="1419" w:y="6408" w:anchorLock="1"/>
        <w:textAlignment w:val="bottom"/>
        <w:rPr>
          <w:rFonts w:eastAsia="黑体"/>
          <w:szCs w:val="28"/>
        </w:rPr>
      </w:pPr>
    </w:p>
    <w:p w14:paraId="1717732F">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9AA849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DACE59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CF02115">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331CC96">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8828BE7">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新疆维吾尔自治区质量检验检测协会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33E0F0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19FAB55">
      <w:pPr>
        <w:pStyle w:val="91"/>
        <w:spacing w:after="360"/>
      </w:pPr>
      <w:bookmarkStart w:id="21" w:name="BookMark1"/>
      <w:r>
        <w:rPr>
          <w:rFonts w:hint="eastAsia"/>
          <w:spacing w:val="320"/>
        </w:rPr>
        <w:t>目</w:t>
      </w:r>
      <w:r>
        <w:rPr>
          <w:rFonts w:hint="eastAsia"/>
        </w:rPr>
        <w:t>次</w:t>
      </w:r>
    </w:p>
    <w:p w14:paraId="5AA13CB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"_Toc215595167"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_Toc215595167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76A3D95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"_Toc215595168"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_Toc215595168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6D54DF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"_Toc215595169"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_Toc215595169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01D170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"_Toc215595170"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_Toc215595170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708817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"_Toc215595171" </w:instrText>
      </w:r>
      <w:r>
        <w:fldChar w:fldCharType="separate"/>
      </w:r>
      <w:r>
        <w:rPr>
          <w:rStyle w:val="32"/>
          <w:rFonts w:hint="eastAsia"/>
        </w:rPr>
        <w:t>4</w:t>
      </w:r>
      <w:r>
        <w:rPr>
          <w:rStyle w:val="32"/>
        </w:rPr>
        <w:t xml:space="preserve"> </w:t>
      </w:r>
      <w:r>
        <w:rPr>
          <w:rStyle w:val="32"/>
          <w:rFonts w:hint="eastAsia"/>
        </w:rPr>
        <w:t xml:space="preserve"> 组织所处的环境</w:t>
      </w:r>
      <w:r>
        <w:rPr>
          <w:rFonts w:hint="eastAsia"/>
        </w:rPr>
        <w:tab/>
      </w:r>
      <w:r>
        <w:rPr>
          <w:rFonts w:hint="eastAsia"/>
        </w:rPr>
        <w:fldChar w:fldCharType="begin"/>
      </w:r>
      <w:r>
        <w:rPr>
          <w:rFonts w:hint="eastAsia"/>
        </w:rPr>
        <w:instrText xml:space="preserve"> </w:instrText>
      </w:r>
      <w:r>
        <w:instrText xml:space="preserve">PAGEREF _Toc215595171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C5C897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"_Toc215595172" </w:instrText>
      </w:r>
      <w:r>
        <w:fldChar w:fldCharType="separate"/>
      </w:r>
      <w:r>
        <w:rPr>
          <w:rStyle w:val="32"/>
          <w:rFonts w:hint="eastAsia"/>
        </w:rPr>
        <w:t>5</w:t>
      </w:r>
      <w:r>
        <w:rPr>
          <w:rStyle w:val="32"/>
        </w:rPr>
        <w:t xml:space="preserve"> </w:t>
      </w:r>
      <w:r>
        <w:rPr>
          <w:rStyle w:val="32"/>
          <w:rFonts w:hint="eastAsia"/>
        </w:rPr>
        <w:t xml:space="preserve"> 领导作用</w:t>
      </w:r>
      <w:r>
        <w:rPr>
          <w:rFonts w:hint="eastAsia"/>
        </w:rPr>
        <w:tab/>
      </w:r>
      <w:r>
        <w:rPr>
          <w:rFonts w:hint="eastAsia"/>
        </w:rPr>
        <w:fldChar w:fldCharType="begin"/>
      </w:r>
      <w:r>
        <w:rPr>
          <w:rFonts w:hint="eastAsia"/>
        </w:rPr>
        <w:instrText xml:space="preserve"> </w:instrText>
      </w:r>
      <w:r>
        <w:instrText xml:space="preserve">PAGEREF _Toc215595172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512EAD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"_Toc215595173" </w:instrText>
      </w:r>
      <w:r>
        <w:fldChar w:fldCharType="separate"/>
      </w:r>
      <w:r>
        <w:rPr>
          <w:rStyle w:val="32"/>
          <w:rFonts w:hint="eastAsia"/>
        </w:rPr>
        <w:t>6</w:t>
      </w:r>
      <w:r>
        <w:rPr>
          <w:rStyle w:val="32"/>
        </w:rPr>
        <w:t xml:space="preserve"> </w:t>
      </w:r>
      <w:r>
        <w:rPr>
          <w:rStyle w:val="32"/>
          <w:rFonts w:hint="eastAsia"/>
        </w:rPr>
        <w:t xml:space="preserve"> 策划</w:t>
      </w:r>
      <w:r>
        <w:rPr>
          <w:rFonts w:hint="eastAsia"/>
        </w:rPr>
        <w:tab/>
      </w:r>
      <w:r>
        <w:rPr>
          <w:rFonts w:hint="eastAsia"/>
        </w:rPr>
        <w:fldChar w:fldCharType="begin"/>
      </w:r>
      <w:r>
        <w:rPr>
          <w:rFonts w:hint="eastAsia"/>
        </w:rPr>
        <w:instrText xml:space="preserve"> </w:instrText>
      </w:r>
      <w:r>
        <w:instrText xml:space="preserve">PAGEREF _Toc215595173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21C7BB3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"_Toc215595174" </w:instrText>
      </w:r>
      <w:r>
        <w:fldChar w:fldCharType="separate"/>
      </w:r>
      <w:r>
        <w:rPr>
          <w:rStyle w:val="32"/>
          <w:rFonts w:hint="eastAsia"/>
        </w:rPr>
        <w:t>7</w:t>
      </w:r>
      <w:r>
        <w:rPr>
          <w:rStyle w:val="32"/>
        </w:rPr>
        <w:t xml:space="preserve"> </w:t>
      </w:r>
      <w:r>
        <w:rPr>
          <w:rStyle w:val="32"/>
          <w:rFonts w:hint="eastAsia"/>
        </w:rPr>
        <w:t xml:space="preserve"> 支持</w:t>
      </w:r>
      <w:r>
        <w:rPr>
          <w:rFonts w:hint="eastAsia"/>
        </w:rPr>
        <w:tab/>
      </w:r>
      <w:r>
        <w:rPr>
          <w:rFonts w:hint="eastAsia"/>
        </w:rPr>
        <w:fldChar w:fldCharType="begin"/>
      </w:r>
      <w:r>
        <w:rPr>
          <w:rFonts w:hint="eastAsia"/>
        </w:rPr>
        <w:instrText xml:space="preserve"> </w:instrText>
      </w:r>
      <w:r>
        <w:instrText xml:space="preserve">PAGEREF _Toc215595174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66695B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"_Toc215595175" </w:instrText>
      </w:r>
      <w:r>
        <w:fldChar w:fldCharType="separate"/>
      </w:r>
      <w:r>
        <w:rPr>
          <w:rStyle w:val="32"/>
          <w:rFonts w:hint="eastAsia"/>
        </w:rPr>
        <w:t>8</w:t>
      </w:r>
      <w:r>
        <w:rPr>
          <w:rStyle w:val="32"/>
        </w:rPr>
        <w:t xml:space="preserve"> </w:t>
      </w:r>
      <w:r>
        <w:rPr>
          <w:rStyle w:val="32"/>
          <w:rFonts w:hint="eastAsia"/>
        </w:rPr>
        <w:t xml:space="preserve"> 运行</w:t>
      </w:r>
      <w:r>
        <w:rPr>
          <w:rFonts w:hint="eastAsia"/>
        </w:rPr>
        <w:tab/>
      </w:r>
      <w:r>
        <w:rPr>
          <w:rFonts w:hint="eastAsia"/>
        </w:rPr>
        <w:fldChar w:fldCharType="begin"/>
      </w:r>
      <w:r>
        <w:rPr>
          <w:rFonts w:hint="eastAsia"/>
        </w:rPr>
        <w:instrText xml:space="preserve"> </w:instrText>
      </w:r>
      <w:r>
        <w:instrText xml:space="preserve">PAGEREF _Toc215595175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88A215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"_Toc215595176" </w:instrText>
      </w:r>
      <w:r>
        <w:fldChar w:fldCharType="separate"/>
      </w:r>
      <w:r>
        <w:rPr>
          <w:rStyle w:val="32"/>
          <w:rFonts w:hint="eastAsia"/>
        </w:rPr>
        <w:t>9</w:t>
      </w:r>
      <w:r>
        <w:rPr>
          <w:rStyle w:val="32"/>
        </w:rPr>
        <w:t xml:space="preserve"> </w:t>
      </w:r>
      <w:r>
        <w:rPr>
          <w:rStyle w:val="32"/>
          <w:rFonts w:hint="eastAsia"/>
        </w:rPr>
        <w:t xml:space="preserve"> 绩效评价</w:t>
      </w:r>
      <w:r>
        <w:rPr>
          <w:rFonts w:hint="eastAsia"/>
        </w:rPr>
        <w:tab/>
      </w:r>
      <w:r>
        <w:rPr>
          <w:rFonts w:hint="eastAsia"/>
        </w:rPr>
        <w:fldChar w:fldCharType="begin"/>
      </w:r>
      <w:r>
        <w:rPr>
          <w:rFonts w:hint="eastAsia"/>
        </w:rPr>
        <w:instrText xml:space="preserve"> </w:instrText>
      </w:r>
      <w:r>
        <w:instrText xml:space="preserve">PAGEREF _Toc215595176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62DBF4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"_Toc215595177" </w:instrText>
      </w:r>
      <w:r>
        <w:fldChar w:fldCharType="separate"/>
      </w:r>
      <w:r>
        <w:rPr>
          <w:rStyle w:val="32"/>
          <w:rFonts w:hint="eastAsia"/>
        </w:rPr>
        <w:t>10</w:t>
      </w:r>
      <w:r>
        <w:rPr>
          <w:rStyle w:val="32"/>
        </w:rPr>
        <w:t xml:space="preserve"> </w:t>
      </w:r>
      <w:r>
        <w:rPr>
          <w:rStyle w:val="32"/>
          <w:rFonts w:hint="eastAsia"/>
        </w:rPr>
        <w:t xml:space="preserve"> 改进</w:t>
      </w:r>
      <w:r>
        <w:rPr>
          <w:rFonts w:hint="eastAsia"/>
        </w:rPr>
        <w:tab/>
      </w:r>
      <w:r>
        <w:rPr>
          <w:rFonts w:hint="eastAsia"/>
        </w:rPr>
        <w:fldChar w:fldCharType="begin"/>
      </w:r>
      <w:r>
        <w:rPr>
          <w:rFonts w:hint="eastAsia"/>
        </w:rPr>
        <w:instrText xml:space="preserve"> </w:instrText>
      </w:r>
      <w:r>
        <w:instrText xml:space="preserve">PAGEREF _Toc215595177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40EE06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"_Toc215595178"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_Toc215595178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13950A2">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4B656793">
      <w:pPr>
        <w:pStyle w:val="89"/>
        <w:spacing w:before="560" w:after="360"/>
      </w:pPr>
      <w:bookmarkStart w:id="22" w:name="_Toc215595167"/>
      <w:bookmarkStart w:id="23" w:name="BookMark2"/>
      <w:r>
        <w:rPr>
          <w:rFonts w:hint="eastAsia"/>
          <w:spacing w:val="320"/>
        </w:rPr>
        <w:t>前</w:t>
      </w:r>
      <w:r>
        <w:rPr>
          <w:rFonts w:hint="eastAsia"/>
        </w:rPr>
        <w:t>言</w:t>
      </w:r>
      <w:bookmarkEnd w:id="22"/>
    </w:p>
    <w:p w14:paraId="3E57687B">
      <w:pPr>
        <w:pStyle w:val="56"/>
        <w:ind w:firstLine="420"/>
      </w:pPr>
      <w:r>
        <w:rPr>
          <w:rFonts w:hint="eastAsia"/>
        </w:rPr>
        <w:t>本文件按照GB/T 1.1—2020《标准化工作导则  第1部分：标准化文件的结构和起草规则》的规定起草。</w:t>
      </w:r>
    </w:p>
    <w:p w14:paraId="53E8D7AC">
      <w:pPr>
        <w:pStyle w:val="56"/>
        <w:ind w:firstLine="420"/>
      </w:pPr>
      <w:r>
        <w:rPr>
          <w:rFonts w:hint="eastAsia"/>
        </w:rPr>
        <w:t>本文件由新疆维吾尔自治区计量测试研究院提出。</w:t>
      </w:r>
    </w:p>
    <w:p w14:paraId="26A6C584">
      <w:pPr>
        <w:pStyle w:val="56"/>
        <w:ind w:firstLine="420"/>
      </w:pPr>
      <w:r>
        <w:rPr>
          <w:rFonts w:hint="eastAsia"/>
        </w:rPr>
        <w:t>本文件由新疆维吾尔自治区质量检验检测协会归口。</w:t>
      </w:r>
    </w:p>
    <w:p w14:paraId="66F41F3C">
      <w:pPr>
        <w:pStyle w:val="56"/>
        <w:ind w:firstLine="420"/>
      </w:pPr>
      <w:r>
        <w:rPr>
          <w:rFonts w:hint="eastAsia"/>
        </w:rPr>
        <w:t>本文件起草单位：新疆维吾尔自治区计量测试研究院。</w:t>
      </w:r>
    </w:p>
    <w:p w14:paraId="11770DBB">
      <w:pPr>
        <w:pStyle w:val="56"/>
        <w:ind w:firstLine="420"/>
      </w:pPr>
      <w:r>
        <w:rPr>
          <w:rFonts w:hint="eastAsia"/>
        </w:rPr>
        <w:t>本文件主要起草人：武文晶、马君刚、马磊磊、曼丽丹、刘思佳。</w:t>
      </w:r>
    </w:p>
    <w:p w14:paraId="160509EB">
      <w:pPr>
        <w:pStyle w:val="56"/>
        <w:ind w:firstLine="420"/>
      </w:pPr>
    </w:p>
    <w:p w14:paraId="1BCCC9FF">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1ED39840">
      <w:pPr>
        <w:spacing w:line="20" w:lineRule="exact"/>
        <w:jc w:val="center"/>
        <w:rPr>
          <w:rFonts w:hint="eastAsia" w:ascii="黑体" w:hAnsi="黑体" w:eastAsia="黑体"/>
          <w:sz w:val="32"/>
          <w:szCs w:val="32"/>
        </w:rPr>
      </w:pPr>
      <w:bookmarkStart w:id="24" w:name="BookMark4"/>
    </w:p>
    <w:p w14:paraId="368489C5">
      <w:pPr>
        <w:spacing w:line="20" w:lineRule="exact"/>
        <w:jc w:val="center"/>
        <w:rPr>
          <w:rFonts w:hint="eastAsia" w:ascii="黑体" w:hAnsi="黑体" w:eastAsia="黑体"/>
          <w:sz w:val="32"/>
          <w:szCs w:val="32"/>
        </w:rPr>
      </w:pPr>
    </w:p>
    <w:sdt>
      <w:sdtPr>
        <w:tag w:val="NEW_STAND_NAME"/>
        <w:id w:val="595910757"/>
        <w:lock w:val="sdtLocked"/>
        <w:placeholder>
          <w:docPart w:val="3A0135BBEF4249A3B75861AE5449DAB2"/>
        </w:placeholder>
      </w:sdtPr>
      <w:sdtContent>
        <w:p w14:paraId="15A61F17">
          <w:pPr>
            <w:pStyle w:val="177"/>
            <w:spacing w:before="2" w:beforeLines="1" w:after="528" w:afterLines="220"/>
            <w:rPr>
              <w:rFonts w:hint="eastAsia"/>
            </w:rPr>
          </w:pPr>
          <w:bookmarkStart w:id="25" w:name="NEW_STAND_NAME"/>
          <w:r>
            <w:rPr>
              <w:rFonts w:hint="eastAsia"/>
            </w:rPr>
            <w:t>重点排放单位碳计量管理体系建设指南</w:t>
          </w:r>
        </w:p>
      </w:sdtContent>
    </w:sdt>
    <w:bookmarkEnd w:id="25"/>
    <w:p w14:paraId="210364A3">
      <w:pPr>
        <w:pStyle w:val="104"/>
        <w:spacing w:before="240" w:after="240"/>
      </w:pPr>
      <w:bookmarkStart w:id="26" w:name="_Toc17233325"/>
      <w:bookmarkStart w:id="27" w:name="_Toc24884211"/>
      <w:bookmarkStart w:id="28" w:name="_Toc215595168"/>
      <w:bookmarkStart w:id="29" w:name="_Toc26986530"/>
      <w:bookmarkStart w:id="30" w:name="_Toc24884218"/>
      <w:bookmarkStart w:id="31" w:name="_Toc26986771"/>
      <w:bookmarkStart w:id="32" w:name="_Toc17233333"/>
      <w:bookmarkStart w:id="33" w:name="_Toc26648465"/>
      <w:bookmarkStart w:id="34" w:name="_Toc26718930"/>
      <w:bookmarkStart w:id="35" w:name="_Toc97192964"/>
      <w:r>
        <w:rPr>
          <w:rFonts w:hint="eastAsia"/>
        </w:rPr>
        <w:t>范围</w:t>
      </w:r>
      <w:bookmarkEnd w:id="26"/>
      <w:bookmarkEnd w:id="27"/>
      <w:bookmarkEnd w:id="28"/>
      <w:bookmarkEnd w:id="29"/>
      <w:bookmarkEnd w:id="30"/>
      <w:bookmarkEnd w:id="31"/>
      <w:bookmarkEnd w:id="32"/>
      <w:bookmarkEnd w:id="33"/>
      <w:bookmarkEnd w:id="34"/>
      <w:bookmarkEnd w:id="35"/>
    </w:p>
    <w:p w14:paraId="35EA1EB2">
      <w:pPr>
        <w:pStyle w:val="56"/>
        <w:ind w:firstLine="420"/>
      </w:pPr>
      <w:bookmarkStart w:id="36" w:name="_Toc17233326"/>
      <w:bookmarkStart w:id="37" w:name="_Toc17233334"/>
      <w:bookmarkStart w:id="38" w:name="_Toc26648466"/>
      <w:bookmarkStart w:id="39" w:name="_Toc24884219"/>
      <w:bookmarkStart w:id="40" w:name="_Toc24884212"/>
      <w:r>
        <w:rPr>
          <w:rFonts w:hint="eastAsia"/>
        </w:rPr>
        <w:t>本文件规定了重点排放单位碳计量管理体系建设的通用要求，旨在指导重点排放单位建立、实施、保持和持续改进碳计量管理体系，确保其碳计量数据的准确性与可靠性，助力实现碳减排目标。</w:t>
      </w:r>
    </w:p>
    <w:p w14:paraId="1A388C4C">
      <w:pPr>
        <w:pStyle w:val="56"/>
        <w:ind w:firstLine="420"/>
      </w:pPr>
      <w:r>
        <w:rPr>
          <w:rFonts w:hint="eastAsia"/>
        </w:rPr>
        <w:t>本文件适用于新疆维吾尔自治区境内所有重点排放单位对碳计量管理体系的建设。</w:t>
      </w:r>
    </w:p>
    <w:p w14:paraId="066AF33D">
      <w:pPr>
        <w:pStyle w:val="104"/>
        <w:spacing w:before="240" w:after="240"/>
      </w:pPr>
      <w:bookmarkStart w:id="41" w:name="_Toc26718931"/>
      <w:bookmarkStart w:id="42" w:name="_Toc26986531"/>
      <w:bookmarkStart w:id="43" w:name="_Toc26986772"/>
      <w:bookmarkStart w:id="44" w:name="_Toc97192965"/>
      <w:bookmarkStart w:id="45" w:name="_Toc215595169"/>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0F9EC3DBE80444098CDC60318711D6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0022468">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D3B7AED">
      <w:pPr>
        <w:pStyle w:val="56"/>
        <w:ind w:firstLine="420"/>
      </w:pPr>
      <w:r>
        <w:rPr>
          <w:rFonts w:hint="eastAsia"/>
        </w:rPr>
        <w:t>GB/T 32150  工业企业温室气体排放核算和报告通则</w:t>
      </w:r>
    </w:p>
    <w:p w14:paraId="6DE7CB6F">
      <w:pPr>
        <w:pStyle w:val="104"/>
        <w:spacing w:before="240" w:after="240"/>
      </w:pPr>
      <w:bookmarkStart w:id="46" w:name="_Toc215595170"/>
      <w:bookmarkStart w:id="47" w:name="_Toc97192966"/>
      <w:r>
        <w:rPr>
          <w:rFonts w:hint="eastAsia"/>
          <w:szCs w:val="21"/>
        </w:rPr>
        <w:t>术语和定义</w:t>
      </w:r>
      <w:bookmarkEnd w:id="46"/>
      <w:bookmarkEnd w:id="47"/>
    </w:p>
    <w:sdt>
      <w:sdtPr>
        <w:id w:val="-1909835108"/>
        <w:placeholder>
          <w:docPart w:val="6211D85FCF334109B7BC4D41CC831796"/>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744C8B">
          <w:pPr>
            <w:pStyle w:val="56"/>
            <w:ind w:firstLine="420"/>
          </w:pPr>
          <w:bookmarkStart w:id="48" w:name="_Toc26986532"/>
          <w:bookmarkEnd w:id="48"/>
          <w:r>
            <w:t>GB/T 32150界定的以及下列术语和定义适用于本文件。</w:t>
          </w:r>
        </w:p>
      </w:sdtContent>
    </w:sdt>
    <w:p w14:paraId="5A7A3B5A">
      <w:pPr>
        <w:pStyle w:val="105"/>
        <w:spacing w:before="120" w:after="120"/>
      </w:pPr>
      <w:r>
        <w:rPr>
          <w:rFonts w:hint="eastAsia"/>
        </w:rPr>
        <w:t>碳计量 carbon metrology</w:t>
      </w:r>
    </w:p>
    <w:p w14:paraId="2C76227B">
      <w:pPr>
        <w:pStyle w:val="56"/>
        <w:ind w:firstLine="420"/>
      </w:pPr>
      <w:r>
        <w:rPr>
          <w:rFonts w:hint="eastAsia"/>
        </w:rPr>
        <w:t>对与温室气体排放相关的量进行测量，包括能源消耗、生产过程等环节产生的碳排放测量，以及碳捕集、利用与封存过程中的相关量测量。</w:t>
      </w:r>
    </w:p>
    <w:p w14:paraId="16DAEDEF">
      <w:pPr>
        <w:pStyle w:val="105"/>
        <w:spacing w:before="120" w:after="120"/>
      </w:pPr>
      <w:r>
        <w:rPr>
          <w:rFonts w:hint="eastAsia"/>
        </w:rPr>
        <w:t>重点排放单位 key emission entities</w:t>
      </w:r>
    </w:p>
    <w:p w14:paraId="67E6A790">
      <w:pPr>
        <w:pStyle w:val="56"/>
        <w:ind w:firstLine="420"/>
      </w:pPr>
      <w:r>
        <w:rPr>
          <w:rFonts w:hint="eastAsia"/>
        </w:rPr>
        <w:t>依据自治区相关规定，在能源消耗、工业生产等活动中，碳排放量大且对区域碳排放量有显著影响，被确定为重点管控的企业或单位。</w:t>
      </w:r>
    </w:p>
    <w:p w14:paraId="0D29925B">
      <w:pPr>
        <w:pStyle w:val="105"/>
        <w:spacing w:before="120" w:after="120"/>
      </w:pPr>
      <w:r>
        <w:rPr>
          <w:rFonts w:hint="eastAsia"/>
        </w:rPr>
        <w:t>碳计量管理体系 carbon measurement management system</w:t>
      </w:r>
    </w:p>
    <w:p w14:paraId="0EE061E3">
      <w:pPr>
        <w:pStyle w:val="56"/>
        <w:ind w:firstLine="420"/>
      </w:pPr>
      <w:r>
        <w:rPr>
          <w:rFonts w:hint="eastAsia"/>
        </w:rPr>
        <w:t>用于制定和实施碳计量方针和目标，并实现这些目标的一组相互关联或相互作用的要素，包括组织结构、职责、程序、过程和资源等。</w:t>
      </w:r>
    </w:p>
    <w:p w14:paraId="5117F71D">
      <w:pPr>
        <w:pStyle w:val="104"/>
        <w:spacing w:before="240" w:after="240"/>
      </w:pPr>
      <w:bookmarkStart w:id="49" w:name="_Toc215595171"/>
      <w:r>
        <w:rPr>
          <w:rFonts w:hint="eastAsia"/>
        </w:rPr>
        <w:t>组织所处的环境</w:t>
      </w:r>
      <w:bookmarkEnd w:id="49"/>
    </w:p>
    <w:p w14:paraId="1F6FEF79">
      <w:pPr>
        <w:pStyle w:val="105"/>
        <w:spacing w:before="120" w:after="120"/>
      </w:pPr>
      <w:r>
        <w:rPr>
          <w:rFonts w:hint="eastAsia"/>
        </w:rPr>
        <w:t>理解组织及其环境</w:t>
      </w:r>
    </w:p>
    <w:p w14:paraId="2442C9ED">
      <w:pPr>
        <w:pStyle w:val="65"/>
        <w:spacing w:before="120" w:after="120"/>
      </w:pPr>
      <w:r>
        <w:rPr>
          <w:rFonts w:hint="eastAsia"/>
        </w:rPr>
        <w:t>外部环境</w:t>
      </w:r>
    </w:p>
    <w:p w14:paraId="31496230">
      <w:pPr>
        <w:pStyle w:val="174"/>
      </w:pPr>
      <w:r>
        <w:rPr>
          <w:rFonts w:hint="eastAsia"/>
        </w:rPr>
        <w:t>政策法规。密切关注国家及自治区有关碳达峰碳中和的政策法规，如国家《碳排放权交易管理暂行条例》、自治区各类碳达峰实施方案及碳减排激励政策，确保单位碳计量管理体系与政策导向一致，能及时响应政策变化；</w:t>
      </w:r>
    </w:p>
    <w:p w14:paraId="6748A427">
      <w:pPr>
        <w:pStyle w:val="174"/>
      </w:pPr>
      <w:r>
        <w:rPr>
          <w:rFonts w:hint="eastAsia"/>
        </w:rPr>
        <w:t>行业动态。跟踪全国及全球同行业在碳计量技术创新、碳管理模式变革方面的趋势。例如，能源行业新兴碳捕集与封存技术应用对碳计量的新要求，化工行业先进碳核算方法的发展，以便借鉴经验提升自身水平；</w:t>
      </w:r>
    </w:p>
    <w:p w14:paraId="68CE4867">
      <w:pPr>
        <w:pStyle w:val="174"/>
      </w:pPr>
      <w:r>
        <w:rPr>
          <w:rFonts w:hint="eastAsia"/>
        </w:rPr>
        <w:t>市场需求。认识到市场对企业碳排放信息披露要求提高，以及消费者、合作伙伴对企业绿色形象的关注。如建筑行业下游客户更倾向与碳计量规范、碳排放数据透明的企业合作，推动重点排放单位优化碳计量管理体系。</w:t>
      </w:r>
    </w:p>
    <w:p w14:paraId="4CBC8842">
      <w:pPr>
        <w:pStyle w:val="65"/>
        <w:spacing w:before="120" w:after="120"/>
      </w:pPr>
      <w:r>
        <w:rPr>
          <w:rFonts w:hint="eastAsia"/>
        </w:rPr>
        <w:t>内部环境</w:t>
      </w:r>
    </w:p>
    <w:p w14:paraId="77C43AF1">
      <w:pPr>
        <w:pStyle w:val="174"/>
        <w:numPr>
          <w:ilvl w:val="0"/>
          <w:numId w:val="32"/>
        </w:numPr>
      </w:pPr>
      <w:r>
        <w:rPr>
          <w:rFonts w:hint="eastAsia"/>
        </w:rPr>
        <w:t>产业特色。新疆重点排放单位集中于特色产业，如特色煤化工生产工艺复杂，各环节碳排放特性差异大；新能源制氢产业在制氢、储氢、输氢等环节存在独特碳计量难题。需结合产业特性构建碳计量管理体系；</w:t>
      </w:r>
    </w:p>
    <w:p w14:paraId="3E163021">
      <w:pPr>
        <w:pStyle w:val="174"/>
      </w:pPr>
      <w:r>
        <w:rPr>
          <w:rFonts w:hint="eastAsia"/>
        </w:rPr>
        <w:t>资源状况。评估单位内部人力、物力、财力及技术资源。部分单位有先进能源计量设备但缺乏专业碳计量人才，一些单位资金充足却在碳计量技术研发投入不足。明确资源优势与短板，为体系建设资源配置提供依据；</w:t>
      </w:r>
    </w:p>
    <w:p w14:paraId="74413023">
      <w:pPr>
        <w:pStyle w:val="174"/>
      </w:pPr>
      <w:r>
        <w:rPr>
          <w:rFonts w:hint="eastAsia"/>
        </w:rPr>
        <w:t>管理水平。审视现有管理架构、制度流程及过往管理成效。若单位在能源管理方面制度完善但碳排放数据整合与分析薄弱，可在碳计量管理体系建设中强化相关环节流程设计与优化。</w:t>
      </w:r>
    </w:p>
    <w:p w14:paraId="03E099DE">
      <w:pPr>
        <w:pStyle w:val="105"/>
        <w:spacing w:before="120" w:after="120"/>
      </w:pPr>
      <w:r>
        <w:rPr>
          <w:rFonts w:hint="eastAsia"/>
        </w:rPr>
        <w:t>理解相关方的需求和期望</w:t>
      </w:r>
    </w:p>
    <w:p w14:paraId="5A7B8388">
      <w:pPr>
        <w:pStyle w:val="65"/>
        <w:spacing w:before="120" w:after="120"/>
      </w:pPr>
      <w:r>
        <w:rPr>
          <w:rFonts w:hint="eastAsia"/>
        </w:rPr>
        <w:t>相关方识别</w:t>
      </w:r>
    </w:p>
    <w:p w14:paraId="4F71E6DA">
      <w:pPr>
        <w:pStyle w:val="56"/>
        <w:ind w:firstLine="420"/>
      </w:pPr>
      <w:r>
        <w:rPr>
          <w:rFonts w:hint="eastAsia"/>
        </w:rPr>
        <w:t>识别与单位碳计量管理体系相关的外部和内部相关方，外部包括政府监管部门、行业协会、合作伙伴、客户等，内部涵盖全体员工、管理层等。</w:t>
      </w:r>
    </w:p>
    <w:p w14:paraId="5FB208FE">
      <w:pPr>
        <w:pStyle w:val="65"/>
        <w:spacing w:before="120" w:after="120"/>
      </w:pPr>
      <w:r>
        <w:rPr>
          <w:rFonts w:hint="eastAsia"/>
        </w:rPr>
        <w:t>需求期望分析</w:t>
      </w:r>
    </w:p>
    <w:p w14:paraId="4C0FE345">
      <w:pPr>
        <w:pStyle w:val="56"/>
        <w:ind w:firstLine="420"/>
      </w:pPr>
      <w:r>
        <w:rPr>
          <w:rFonts w:hint="eastAsia"/>
        </w:rPr>
        <w:t>分析各相关方对单位碳计量工作的需求和期望。政府监管部门期望单位遵守碳排放法规、准确上报数据；客户关注产品碳足迹，期望合作企业提供低碳产品；员工希望在良好碳管理环境中工作并获得职业发展机会等，以此为体系建设和完善提供方向。</w:t>
      </w:r>
    </w:p>
    <w:p w14:paraId="188EB698">
      <w:pPr>
        <w:pStyle w:val="105"/>
        <w:spacing w:before="120" w:after="120"/>
      </w:pPr>
      <w:r>
        <w:rPr>
          <w:rFonts w:hint="eastAsia"/>
        </w:rPr>
        <w:t>确定碳计量管理体系的范围</w:t>
      </w:r>
    </w:p>
    <w:p w14:paraId="35FFA79B">
      <w:pPr>
        <w:pStyle w:val="65"/>
        <w:spacing w:before="120" w:after="120"/>
      </w:pPr>
      <w:r>
        <w:rPr>
          <w:rFonts w:hint="eastAsia"/>
        </w:rPr>
        <w:t>边界界定</w:t>
      </w:r>
    </w:p>
    <w:p w14:paraId="2BCDBC9A">
      <w:pPr>
        <w:pStyle w:val="56"/>
        <w:ind w:firstLine="420"/>
      </w:pPr>
      <w:r>
        <w:rPr>
          <w:rFonts w:hint="eastAsia"/>
        </w:rPr>
        <w:t>明确碳计量管理体系的边界，涵盖单位所有与碳排放相关的活动、设施和场所，包括生产车间、办公区域、仓储设施等，以及相关生产工艺、服务流程等。</w:t>
      </w:r>
    </w:p>
    <w:p w14:paraId="0EC92AE0">
      <w:pPr>
        <w:pStyle w:val="65"/>
        <w:spacing w:before="120" w:after="120"/>
      </w:pPr>
      <w:r>
        <w:rPr>
          <w:rFonts w:hint="eastAsia"/>
        </w:rPr>
        <w:t>排除说明</w:t>
      </w:r>
    </w:p>
    <w:p w14:paraId="567E9F6D">
      <w:pPr>
        <w:pStyle w:val="56"/>
        <w:ind w:firstLine="420"/>
      </w:pPr>
      <w:r>
        <w:rPr>
          <w:rFonts w:hint="eastAsia"/>
        </w:rPr>
        <w:t>若有特定能源种类或活动排除在体系范围外，详细说明排除原因和依据，确保体系范围界定合理、清晰。</w:t>
      </w:r>
    </w:p>
    <w:p w14:paraId="52B70073">
      <w:pPr>
        <w:pStyle w:val="104"/>
        <w:spacing w:before="240" w:after="240"/>
      </w:pPr>
      <w:bookmarkStart w:id="50" w:name="_Toc215595172"/>
      <w:r>
        <w:rPr>
          <w:rFonts w:hint="eastAsia"/>
        </w:rPr>
        <w:t>领导作用</w:t>
      </w:r>
      <w:bookmarkEnd w:id="50"/>
    </w:p>
    <w:p w14:paraId="51990C2D">
      <w:pPr>
        <w:pStyle w:val="105"/>
        <w:spacing w:before="120" w:after="120"/>
      </w:pPr>
      <w:r>
        <w:rPr>
          <w:rFonts w:hint="eastAsia"/>
        </w:rPr>
        <w:t>领导作用和承诺</w:t>
      </w:r>
    </w:p>
    <w:p w14:paraId="7774F05D">
      <w:pPr>
        <w:pStyle w:val="65"/>
        <w:spacing w:before="120" w:after="120"/>
      </w:pPr>
      <w:r>
        <w:rPr>
          <w:rFonts w:hint="eastAsia"/>
        </w:rPr>
        <w:t>对体系的支持</w:t>
      </w:r>
    </w:p>
    <w:p w14:paraId="5C360DB4">
      <w:pPr>
        <w:pStyle w:val="56"/>
        <w:ind w:firstLine="420"/>
      </w:pPr>
      <w:r>
        <w:rPr>
          <w:rFonts w:hint="eastAsia"/>
        </w:rPr>
        <w:t>最高管理者应明确支持碳计量管理体系建设与运行，保障体系建设所需人力、物力、财力及技术资源。</w:t>
      </w:r>
    </w:p>
    <w:p w14:paraId="20B89E37">
      <w:pPr>
        <w:pStyle w:val="65"/>
        <w:spacing w:before="120" w:after="120"/>
      </w:pPr>
      <w:r>
        <w:rPr>
          <w:rFonts w:hint="eastAsia"/>
        </w:rPr>
        <w:t>碳减排承诺</w:t>
      </w:r>
    </w:p>
    <w:p w14:paraId="659A6611">
      <w:pPr>
        <w:pStyle w:val="56"/>
        <w:ind w:firstLine="420"/>
      </w:pPr>
      <w:r>
        <w:rPr>
          <w:rFonts w:hint="eastAsia"/>
        </w:rPr>
        <w:t>公开承诺推动单位碳减排工作，将碳减排目标融入战略规划和日常运营，向员工、相关方及社会传递应对气候变化的决心。</w:t>
      </w:r>
    </w:p>
    <w:p w14:paraId="6F4A7BF4">
      <w:pPr>
        <w:pStyle w:val="105"/>
        <w:spacing w:before="120" w:after="120"/>
      </w:pPr>
      <w:r>
        <w:rPr>
          <w:rFonts w:hint="eastAsia"/>
        </w:rPr>
        <w:t>碳计量方针</w:t>
      </w:r>
    </w:p>
    <w:p w14:paraId="1782416B">
      <w:pPr>
        <w:pStyle w:val="65"/>
        <w:spacing w:before="120" w:after="120"/>
      </w:pPr>
      <w:r>
        <w:rPr>
          <w:rFonts w:hint="eastAsia"/>
        </w:rPr>
        <w:t>方针制定</w:t>
      </w:r>
    </w:p>
    <w:p w14:paraId="7B14706C">
      <w:pPr>
        <w:pStyle w:val="56"/>
        <w:ind w:firstLine="420"/>
      </w:pPr>
      <w:r>
        <w:rPr>
          <w:rFonts w:hint="eastAsia"/>
        </w:rPr>
        <w:t>最高管理者制定具有前瞻性和可操作性的碳计量方针，与单位总体战略目标契合，体现对碳减排、精准计量的追求，如“精准碳计量，引领绿色发展，持续降低碳排放强度”。</w:t>
      </w:r>
    </w:p>
    <w:p w14:paraId="5A29D52C">
      <w:pPr>
        <w:pStyle w:val="65"/>
        <w:spacing w:before="120" w:after="120"/>
      </w:pPr>
      <w:r>
        <w:rPr>
          <w:rFonts w:hint="eastAsia"/>
        </w:rPr>
        <w:t>方针传达</w:t>
      </w:r>
    </w:p>
    <w:p w14:paraId="11E3CF3B">
      <w:pPr>
        <w:pStyle w:val="56"/>
        <w:ind w:firstLine="420"/>
      </w:pPr>
      <w:r>
        <w:rPr>
          <w:rFonts w:hint="eastAsia"/>
        </w:rPr>
        <w:t>通过内部会议、文件、培训等渠道，确保碳计量方针在单位内部广泛传达和理解，使员工明确单位碳计量工作方向和原则。</w:t>
      </w:r>
    </w:p>
    <w:p w14:paraId="6B91C088">
      <w:pPr>
        <w:pStyle w:val="105"/>
        <w:spacing w:before="120" w:after="120"/>
      </w:pPr>
      <w:r>
        <w:rPr>
          <w:rFonts w:hint="eastAsia"/>
        </w:rPr>
        <w:t>组织的岗位、职责和权限</w:t>
      </w:r>
    </w:p>
    <w:p w14:paraId="519400CA">
      <w:pPr>
        <w:pStyle w:val="65"/>
        <w:spacing w:before="120" w:after="120"/>
      </w:pPr>
      <w:r>
        <w:rPr>
          <w:rFonts w:hint="eastAsia"/>
        </w:rPr>
        <w:t>职责分配</w:t>
      </w:r>
    </w:p>
    <w:p w14:paraId="35EF2810">
      <w:pPr>
        <w:pStyle w:val="56"/>
        <w:ind w:firstLine="420"/>
      </w:pPr>
      <w:r>
        <w:rPr>
          <w:rFonts w:hint="eastAsia"/>
        </w:rPr>
        <w:t>明确各部门、各岗位在碳计量管理体系中的职责和权限，如计量部门负责碳计量器具管理维护，生产部门负责生产过程碳排放数据采集等，确保各岗位清楚自身任务和作用。</w:t>
      </w:r>
    </w:p>
    <w:p w14:paraId="32E0D01F">
      <w:pPr>
        <w:pStyle w:val="65"/>
        <w:spacing w:before="120" w:after="120"/>
      </w:pPr>
      <w:r>
        <w:rPr>
          <w:rFonts w:hint="eastAsia"/>
        </w:rPr>
        <w:t>沟通协作</w:t>
      </w:r>
    </w:p>
    <w:p w14:paraId="759CF4B9">
      <w:pPr>
        <w:pStyle w:val="56"/>
        <w:ind w:firstLine="420"/>
      </w:pPr>
      <w:r>
        <w:rPr>
          <w:rFonts w:hint="eastAsia"/>
        </w:rPr>
        <w:t>建立有效沟通协作机制，促进各部门、各岗位在碳计量工作中的信息共享与协同合作，避免职责不清、工作推诿等问题。</w:t>
      </w:r>
    </w:p>
    <w:p w14:paraId="216557A4">
      <w:pPr>
        <w:pStyle w:val="104"/>
        <w:spacing w:before="240" w:after="240"/>
      </w:pPr>
      <w:bookmarkStart w:id="51" w:name="_Toc215595173"/>
      <w:r>
        <w:rPr>
          <w:rFonts w:hint="eastAsia"/>
        </w:rPr>
        <w:t>策划</w:t>
      </w:r>
      <w:bookmarkEnd w:id="51"/>
    </w:p>
    <w:p w14:paraId="47E000ED">
      <w:pPr>
        <w:pStyle w:val="105"/>
        <w:spacing w:before="120" w:after="120"/>
      </w:pPr>
      <w:r>
        <w:rPr>
          <w:rFonts w:hint="eastAsia"/>
        </w:rPr>
        <w:t>应对风险和机遇的措施</w:t>
      </w:r>
    </w:p>
    <w:p w14:paraId="77904F79">
      <w:pPr>
        <w:pStyle w:val="65"/>
        <w:spacing w:before="120" w:after="120"/>
      </w:pPr>
      <w:r>
        <w:rPr>
          <w:rFonts w:hint="eastAsia"/>
        </w:rPr>
        <w:t>风险识别</w:t>
      </w:r>
    </w:p>
    <w:p w14:paraId="7645CAD1">
      <w:pPr>
        <w:pStyle w:val="56"/>
        <w:ind w:firstLine="420"/>
      </w:pPr>
      <w:r>
        <w:rPr>
          <w:rFonts w:hint="eastAsia"/>
        </w:rPr>
        <w:t>全面识别碳计量管理体系建设和运行中的风险，如政策法规变化致计量要求调整、新技术应用带来设备更新、人员流动造成技术传承困难、计量数据不准确引发合规风险等。</w:t>
      </w:r>
    </w:p>
    <w:p w14:paraId="6E82A97C">
      <w:pPr>
        <w:pStyle w:val="65"/>
        <w:spacing w:before="120" w:after="120"/>
      </w:pPr>
      <w:r>
        <w:rPr>
          <w:rFonts w:hint="eastAsia"/>
        </w:rPr>
        <w:t>风险应对</w:t>
      </w:r>
    </w:p>
    <w:p w14:paraId="25ACFA1A">
      <w:pPr>
        <w:pStyle w:val="56"/>
        <w:ind w:firstLine="420"/>
      </w:pPr>
      <w:r>
        <w:rPr>
          <w:rFonts w:hint="eastAsia"/>
        </w:rPr>
        <w:t>针对识别出的风险制定应对措施，如建立政策法规跟踪机制适应政策变化；制定设备更新计划储备资金应对新技术应用；加强人才培养和团队建设降低人员流动影响；建立数据质量控制体系减少计量数据误差风险。</w:t>
      </w:r>
    </w:p>
    <w:p w14:paraId="78037B41">
      <w:pPr>
        <w:pStyle w:val="65"/>
        <w:spacing w:before="120" w:after="120"/>
      </w:pPr>
      <w:r>
        <w:rPr>
          <w:rFonts w:hint="eastAsia"/>
        </w:rPr>
        <w:t>机遇把握</w:t>
      </w:r>
    </w:p>
    <w:p w14:paraId="389C5537">
      <w:pPr>
        <w:pStyle w:val="56"/>
        <w:ind w:firstLine="420"/>
      </w:pPr>
      <w:r>
        <w:rPr>
          <w:rFonts w:hint="eastAsia"/>
        </w:rPr>
        <w:t>关注碳计量工作机遇，如提升碳计量水平获更多碳减排政策支持、开拓绿色市场、提升企业社会形象等，制定机遇利用策略发挥碳计量对单位发展的促进作用。</w:t>
      </w:r>
    </w:p>
    <w:p w14:paraId="607DE855">
      <w:pPr>
        <w:pStyle w:val="105"/>
        <w:spacing w:before="120" w:after="120"/>
      </w:pPr>
      <w:r>
        <w:rPr>
          <w:rFonts w:hint="eastAsia"/>
        </w:rPr>
        <w:t>碳计量目标及其实现的策划</w:t>
      </w:r>
    </w:p>
    <w:p w14:paraId="5946FE69">
      <w:pPr>
        <w:pStyle w:val="65"/>
        <w:spacing w:before="120" w:after="120"/>
      </w:pPr>
      <w:r>
        <w:rPr>
          <w:rFonts w:hint="eastAsia"/>
        </w:rPr>
        <w:t>目标设定</w:t>
      </w:r>
    </w:p>
    <w:p w14:paraId="139AF3D0">
      <w:pPr>
        <w:pStyle w:val="56"/>
        <w:ind w:firstLine="420"/>
      </w:pPr>
      <w:r>
        <w:rPr>
          <w:rFonts w:hint="eastAsia"/>
        </w:rPr>
        <w:t>依据碳计量方针和单位实际，制定可量化、可实现、有时限的碳计量目标，如未来一年内主要碳排放源计量准确性提升至95%以上；三年内单位产品碳排放强度降低10%等。</w:t>
      </w:r>
    </w:p>
    <w:p w14:paraId="3A883B18">
      <w:pPr>
        <w:pStyle w:val="65"/>
        <w:spacing w:before="120" w:after="120"/>
      </w:pPr>
      <w:r>
        <w:rPr>
          <w:rFonts w:hint="eastAsia"/>
        </w:rPr>
        <w:t>目标分解</w:t>
      </w:r>
    </w:p>
    <w:p w14:paraId="174FDAF8">
      <w:pPr>
        <w:pStyle w:val="56"/>
        <w:ind w:firstLine="420"/>
      </w:pPr>
      <w:r>
        <w:rPr>
          <w:rFonts w:hint="eastAsia"/>
        </w:rPr>
        <w:t>将碳计量目标层层分解至各部门、各岗位，各部门和岗位围绕分解目标制定详细工作计划和执行措施，确保目标实现。</w:t>
      </w:r>
    </w:p>
    <w:p w14:paraId="6D900800">
      <w:pPr>
        <w:pStyle w:val="65"/>
        <w:spacing w:before="120" w:after="120"/>
      </w:pPr>
      <w:r>
        <w:rPr>
          <w:rFonts w:hint="eastAsia"/>
        </w:rPr>
        <w:t>资源规划</w:t>
      </w:r>
    </w:p>
    <w:p w14:paraId="498FD2C6">
      <w:pPr>
        <w:pStyle w:val="56"/>
        <w:ind w:firstLine="420"/>
      </w:pPr>
      <w:r>
        <w:rPr>
          <w:rFonts w:hint="eastAsia"/>
        </w:rPr>
        <w:t>为实现碳计量目标，合理规划人力、物力、财力等资源，明确资源来源和分配方式，保障资源满足目标实现需求。</w:t>
      </w:r>
    </w:p>
    <w:p w14:paraId="2D95C9A0">
      <w:pPr>
        <w:pStyle w:val="105"/>
        <w:spacing w:before="120" w:after="120"/>
      </w:pPr>
      <w:r>
        <w:rPr>
          <w:rFonts w:hint="eastAsia"/>
        </w:rPr>
        <w:t>碳计量管理方案</w:t>
      </w:r>
    </w:p>
    <w:p w14:paraId="6664D4D7">
      <w:pPr>
        <w:pStyle w:val="65"/>
        <w:spacing w:before="120" w:after="120"/>
      </w:pPr>
      <w:r>
        <w:rPr>
          <w:rFonts w:hint="eastAsia"/>
        </w:rPr>
        <w:t>方案制定</w:t>
      </w:r>
    </w:p>
    <w:p w14:paraId="45463484">
      <w:pPr>
        <w:pStyle w:val="56"/>
        <w:ind w:firstLine="420"/>
      </w:pPr>
      <w:r>
        <w:rPr>
          <w:rFonts w:hint="eastAsia"/>
        </w:rPr>
        <w:t>针对碳计量目标和主要碳排放源，制定具体碳计量管理方案，明确实现目标的措施、责任部门、时间节点等，如对重点碳排放设备制定监测计划和改进措施。</w:t>
      </w:r>
    </w:p>
    <w:p w14:paraId="315981D2">
      <w:pPr>
        <w:pStyle w:val="65"/>
        <w:spacing w:before="120" w:after="120"/>
      </w:pPr>
      <w:r>
        <w:rPr>
          <w:rFonts w:hint="eastAsia"/>
        </w:rPr>
        <w:t>方案实施</w:t>
      </w:r>
    </w:p>
    <w:p w14:paraId="51D63545">
      <w:pPr>
        <w:pStyle w:val="56"/>
        <w:ind w:firstLine="420"/>
      </w:pPr>
      <w:r>
        <w:rPr>
          <w:rFonts w:hint="eastAsia"/>
        </w:rPr>
        <w:t>按照碳计量管理方案组织实施各项措施，及时跟踪进展，发现问题及时调整优化方案，确保方案有效执行。</w:t>
      </w:r>
    </w:p>
    <w:p w14:paraId="21C68C0F">
      <w:pPr>
        <w:pStyle w:val="104"/>
        <w:spacing w:before="240" w:after="240"/>
      </w:pPr>
      <w:bookmarkStart w:id="52" w:name="_Toc215595174"/>
      <w:r>
        <w:rPr>
          <w:rFonts w:hint="eastAsia"/>
        </w:rPr>
        <w:t>支持</w:t>
      </w:r>
      <w:bookmarkEnd w:id="52"/>
    </w:p>
    <w:p w14:paraId="58F7D5D1">
      <w:pPr>
        <w:pStyle w:val="105"/>
        <w:spacing w:before="120" w:after="120"/>
      </w:pPr>
      <w:r>
        <w:rPr>
          <w:rFonts w:hint="eastAsia"/>
        </w:rPr>
        <w:t>资源</w:t>
      </w:r>
    </w:p>
    <w:p w14:paraId="36D29FDF">
      <w:pPr>
        <w:pStyle w:val="65"/>
        <w:spacing w:before="120" w:after="120"/>
      </w:pPr>
      <w:r>
        <w:rPr>
          <w:rFonts w:hint="eastAsia"/>
        </w:rPr>
        <w:t>人力资源</w:t>
      </w:r>
    </w:p>
    <w:p w14:paraId="494C0BE6">
      <w:pPr>
        <w:pStyle w:val="56"/>
        <w:ind w:firstLine="420"/>
      </w:pPr>
      <w:r>
        <w:rPr>
          <w:rFonts w:hint="eastAsia"/>
        </w:rPr>
        <w:t>根据碳计量工作需求，招聘计量学、环境科学、化学工程等专业人员充实碳计量管理团队，合理配置岗位，明确职责和任职要求，通过内部培训、外部进修等形式提升人员专业能力和业务水平。</w:t>
      </w:r>
    </w:p>
    <w:p w14:paraId="057140E3">
      <w:pPr>
        <w:pStyle w:val="65"/>
        <w:spacing w:before="120" w:after="120"/>
      </w:pPr>
      <w:r>
        <w:rPr>
          <w:rFonts w:hint="eastAsia"/>
        </w:rPr>
        <w:t>基础设施</w:t>
      </w:r>
    </w:p>
    <w:p w14:paraId="64D2FF22">
      <w:pPr>
        <w:pStyle w:val="56"/>
        <w:ind w:firstLine="420"/>
      </w:pPr>
      <w:r>
        <w:rPr>
          <w:rFonts w:hint="eastAsia"/>
        </w:rPr>
        <w:t>配备先进适用的碳计量设备，如气体流量计、碳元素分析仪、红外气体分析仪、热量表等，建立设备台账进行全生命周期管理。搭建完善的数据采集与传输系统，确保数据准确及时传输至数据处理中心，同时为碳计量管理部门及人员提供必要办公设施。</w:t>
      </w:r>
    </w:p>
    <w:p w14:paraId="0D929DD0">
      <w:pPr>
        <w:pStyle w:val="65"/>
        <w:spacing w:before="120" w:after="120"/>
      </w:pPr>
      <w:r>
        <w:rPr>
          <w:rFonts w:hint="eastAsia"/>
        </w:rPr>
        <w:t>技术资源</w:t>
      </w:r>
    </w:p>
    <w:p w14:paraId="4CBCDB9A">
      <w:pPr>
        <w:pStyle w:val="56"/>
        <w:ind w:firstLine="420"/>
      </w:pPr>
      <w:r>
        <w:rPr>
          <w:rFonts w:hint="eastAsia"/>
        </w:rPr>
        <w:t>设立碳计量技术研发专项经费，鼓励内部技术人员开展碳计量技术研究创新，加强与科研机构、高校、专业计量技术服务机构合作，建立产学研合作机制，引进先进碳计量技术和方法提升单位技术水平。</w:t>
      </w:r>
    </w:p>
    <w:p w14:paraId="04416EC7">
      <w:pPr>
        <w:pStyle w:val="105"/>
        <w:spacing w:before="120" w:after="120"/>
      </w:pPr>
      <w:r>
        <w:rPr>
          <w:rFonts w:hint="eastAsia"/>
        </w:rPr>
        <w:t>能力</w:t>
      </w:r>
    </w:p>
    <w:p w14:paraId="5D4374E0">
      <w:pPr>
        <w:pStyle w:val="65"/>
        <w:spacing w:before="120" w:after="120"/>
      </w:pPr>
      <w:r>
        <w:rPr>
          <w:rFonts w:hint="eastAsia"/>
        </w:rPr>
        <w:t>培训需求分析</w:t>
      </w:r>
    </w:p>
    <w:p w14:paraId="7FE79222">
      <w:pPr>
        <w:pStyle w:val="56"/>
        <w:ind w:firstLine="420"/>
      </w:pPr>
      <w:r>
        <w:rPr>
          <w:rFonts w:hint="eastAsia"/>
        </w:rPr>
        <w:t>定期对碳计量相关人员进行培训需求分析，依据岗位需求和人员实际能力确定培训内容和方式，培训内容包括计量法规、标准规范、碳计量技术、碳排放核算与报告、数据分析处理等知识。</w:t>
      </w:r>
    </w:p>
    <w:p w14:paraId="71DE1D9B">
      <w:pPr>
        <w:pStyle w:val="65"/>
        <w:spacing w:before="120" w:after="120"/>
      </w:pPr>
      <w:r>
        <w:rPr>
          <w:rFonts w:hint="eastAsia"/>
        </w:rPr>
        <w:t>培训计划实施</w:t>
      </w:r>
    </w:p>
    <w:p w14:paraId="7122BBDE">
      <w:pPr>
        <w:pStyle w:val="56"/>
        <w:ind w:firstLine="420"/>
      </w:pPr>
      <w:r>
        <w:rPr>
          <w:rFonts w:hint="eastAsia"/>
        </w:rPr>
        <w:t>制定并实施系统培训计划，采用内部培训、外部培训、在线学习、实践操作等多种形式，确保相关人员及时获得必要培训，提高培训效果。</w:t>
      </w:r>
    </w:p>
    <w:p w14:paraId="5C8E1787">
      <w:pPr>
        <w:pStyle w:val="65"/>
        <w:spacing w:before="120" w:after="120"/>
      </w:pPr>
      <w:r>
        <w:rPr>
          <w:rFonts w:hint="eastAsia"/>
        </w:rPr>
        <w:t>能力评价</w:t>
      </w:r>
    </w:p>
    <w:p w14:paraId="522974D4">
      <w:pPr>
        <w:pStyle w:val="56"/>
        <w:ind w:firstLine="420"/>
      </w:pPr>
      <w:r>
        <w:rPr>
          <w:rFonts w:hint="eastAsia"/>
        </w:rPr>
        <w:t>通过考试、实际操作考核、工作绩效评估等方式，对参加培训人员的能力进行评价，检验培训效果，确保人员具备相应碳计量工作能力。</w:t>
      </w:r>
    </w:p>
    <w:p w14:paraId="1B73BA3E">
      <w:pPr>
        <w:pStyle w:val="105"/>
        <w:spacing w:before="120" w:after="120"/>
      </w:pPr>
      <w:r>
        <w:rPr>
          <w:rFonts w:hint="eastAsia"/>
        </w:rPr>
        <w:t>意识</w:t>
      </w:r>
    </w:p>
    <w:p w14:paraId="41BC8C1A">
      <w:pPr>
        <w:pStyle w:val="65"/>
        <w:spacing w:before="120" w:after="120"/>
      </w:pPr>
      <w:r>
        <w:rPr>
          <w:rFonts w:hint="eastAsia"/>
        </w:rPr>
        <w:t>意识提升活动</w:t>
      </w:r>
    </w:p>
    <w:p w14:paraId="7957A865">
      <w:pPr>
        <w:pStyle w:val="56"/>
        <w:ind w:firstLine="420"/>
      </w:pPr>
      <w:r>
        <w:rPr>
          <w:rFonts w:hint="eastAsia"/>
        </w:rPr>
        <w:t>通过内部宣传、培训、文化建设等活动，提升全体员工对碳计量工作重要性的认识，增强碳减排意识和责任感，使员工了解自身在碳计量管理体系中的角色和职责，积极参与碳计量相关工作。</w:t>
      </w:r>
    </w:p>
    <w:p w14:paraId="32E41A8F">
      <w:pPr>
        <w:pStyle w:val="65"/>
        <w:spacing w:before="120" w:after="120"/>
      </w:pPr>
      <w:r>
        <w:rPr>
          <w:rFonts w:hint="eastAsia"/>
        </w:rPr>
        <w:t>信息沟通</w:t>
      </w:r>
    </w:p>
    <w:p w14:paraId="73DBC121">
      <w:pPr>
        <w:pStyle w:val="56"/>
        <w:ind w:firstLine="420"/>
      </w:pPr>
      <w:r>
        <w:rPr>
          <w:rFonts w:hint="eastAsia"/>
        </w:rPr>
        <w:t>建立畅通信息沟通渠道，及时向员工传达碳计量管理体系相关信息，包括政策法规变化、目标进展、工作成果等，鼓励员工提出改进建议和意见。</w:t>
      </w:r>
    </w:p>
    <w:p w14:paraId="508CFF61">
      <w:pPr>
        <w:pStyle w:val="105"/>
        <w:spacing w:before="120" w:after="120"/>
      </w:pPr>
      <w:r>
        <w:rPr>
          <w:rFonts w:hint="eastAsia"/>
        </w:rPr>
        <w:t>文件化信息</w:t>
      </w:r>
    </w:p>
    <w:p w14:paraId="4C2E17C3">
      <w:pPr>
        <w:pStyle w:val="65"/>
        <w:spacing w:before="120" w:after="120"/>
      </w:pPr>
      <w:r>
        <w:rPr>
          <w:rFonts w:hint="eastAsia"/>
        </w:rPr>
        <w:t>体系文件要求</w:t>
      </w:r>
    </w:p>
    <w:p w14:paraId="1F52606B">
      <w:pPr>
        <w:pStyle w:val="56"/>
        <w:ind w:firstLine="420"/>
      </w:pPr>
      <w:r>
        <w:rPr>
          <w:rFonts w:hint="eastAsia"/>
        </w:rPr>
        <w:t>建立完善的碳计量管理体系文件，包括碳计量方针、目标、管理手册、程序文件、操作规程、记录文件等，确保体系文件充分、适宜、有效。</w:t>
      </w:r>
    </w:p>
    <w:p w14:paraId="3649B4C6">
      <w:pPr>
        <w:pStyle w:val="65"/>
        <w:spacing w:before="120" w:after="120"/>
      </w:pPr>
      <w:r>
        <w:rPr>
          <w:rFonts w:hint="eastAsia"/>
        </w:rPr>
        <w:t>文件控制</w:t>
      </w:r>
    </w:p>
    <w:p w14:paraId="44A8E9D8">
      <w:pPr>
        <w:pStyle w:val="56"/>
        <w:ind w:firstLine="420"/>
      </w:pPr>
      <w:r>
        <w:rPr>
          <w:rFonts w:hint="eastAsia"/>
        </w:rPr>
        <w:t>对碳计量管理体系文件进行有效控制，明确文件编制、审批、发布、修订、作废等流程，确保文件版本正确、现行有效，防止使用过期或作废文件。</w:t>
      </w:r>
    </w:p>
    <w:p w14:paraId="1F1FDC1C">
      <w:pPr>
        <w:pStyle w:val="65"/>
        <w:spacing w:before="120" w:after="120"/>
      </w:pPr>
      <w:r>
        <w:rPr>
          <w:rFonts w:hint="eastAsia"/>
        </w:rPr>
        <w:t>记录控制</w:t>
      </w:r>
    </w:p>
    <w:p w14:paraId="244BF371">
      <w:pPr>
        <w:pStyle w:val="56"/>
        <w:ind w:firstLine="420"/>
      </w:pPr>
      <w:r>
        <w:rPr>
          <w:rFonts w:hint="eastAsia"/>
        </w:rPr>
        <w:t>规范碳计量相关记录管理，明确记录格式、内容、填写要求、保存期限等，确保记录真实、准确、完整，为碳计量管理体系运行和改进提供可靠依据。</w:t>
      </w:r>
    </w:p>
    <w:p w14:paraId="10C704A7">
      <w:pPr>
        <w:pStyle w:val="104"/>
        <w:spacing w:before="240" w:after="240"/>
      </w:pPr>
      <w:bookmarkStart w:id="53" w:name="_Toc215595175"/>
      <w:r>
        <w:rPr>
          <w:rFonts w:hint="eastAsia"/>
        </w:rPr>
        <w:t>运行</w:t>
      </w:r>
      <w:bookmarkEnd w:id="53"/>
    </w:p>
    <w:p w14:paraId="3E0A42E6">
      <w:pPr>
        <w:pStyle w:val="105"/>
        <w:spacing w:before="120" w:after="120"/>
      </w:pPr>
      <w:r>
        <w:rPr>
          <w:rFonts w:hint="eastAsia"/>
        </w:rPr>
        <w:t>运行策划和控制</w:t>
      </w:r>
    </w:p>
    <w:p w14:paraId="2AB54F4B">
      <w:pPr>
        <w:pStyle w:val="65"/>
        <w:spacing w:before="120" w:after="120"/>
      </w:pPr>
      <w:r>
        <w:rPr>
          <w:rFonts w:hint="eastAsia"/>
        </w:rPr>
        <w:t>碳计量过程控制</w:t>
      </w:r>
    </w:p>
    <w:p w14:paraId="08AFACA4">
      <w:pPr>
        <w:pStyle w:val="56"/>
        <w:ind w:firstLine="420"/>
      </w:pPr>
      <w:r>
        <w:rPr>
          <w:rFonts w:hint="eastAsia"/>
        </w:rPr>
        <w:t>针对不同碳计量设备和测量过程，制定详细规范的操作规程，明确操作步骤、测量点位选择、测量频次确定、数据记录格式和要求等，操作人员严格按规程操作，确保测量过程规范一致。</w:t>
      </w:r>
    </w:p>
    <w:p w14:paraId="567ED27D">
      <w:pPr>
        <w:pStyle w:val="65"/>
        <w:spacing w:before="120" w:after="120"/>
      </w:pPr>
      <w:r>
        <w:rPr>
          <w:rFonts w:hint="eastAsia"/>
        </w:rPr>
        <w:t>数据采集与管理</w:t>
      </w:r>
    </w:p>
    <w:p w14:paraId="5A5DE71E">
      <w:pPr>
        <w:pStyle w:val="56"/>
        <w:ind w:firstLine="420"/>
      </w:pPr>
      <w:r>
        <w:rPr>
          <w:rFonts w:hint="eastAsia"/>
        </w:rPr>
        <w:t>安排经过培训的专人负责碳计量数据采集，按规定频次和方法采集数据，确保数据及时准确。对自动化数据采集系统定期进行人工比对和校验，防止数据传输错误和设备故障导致数据失真。采集的数据及时准确记录在规定记录表格或信息系统中并妥善管理保存。</w:t>
      </w:r>
    </w:p>
    <w:p w14:paraId="5F783E57">
      <w:pPr>
        <w:pStyle w:val="65"/>
        <w:spacing w:before="120" w:after="120"/>
      </w:pPr>
      <w:r>
        <w:rPr>
          <w:rFonts w:hint="eastAsia"/>
        </w:rPr>
        <w:t>设备设施运行维护</w:t>
      </w:r>
    </w:p>
    <w:p w14:paraId="22FC84A5">
      <w:pPr>
        <w:pStyle w:val="56"/>
        <w:ind w:firstLine="420"/>
      </w:pPr>
      <w:r>
        <w:rPr>
          <w:rFonts w:hint="eastAsia"/>
        </w:rPr>
        <w:t>制定碳计量设备和相关设施维护计划，定期进行清洁、校准、检查、维修等维护保养工作，由专业或经过培训人员按设备维护手册操作，建立设备维护记录跟踪设备维护情况和性能变化。对数据采集与传输系统、办公设施等基础设施进行日常巡检和维护，确保其正常运行。</w:t>
      </w:r>
    </w:p>
    <w:p w14:paraId="4C797D24">
      <w:pPr>
        <w:pStyle w:val="105"/>
        <w:spacing w:before="120" w:after="120"/>
      </w:pPr>
      <w:r>
        <w:rPr>
          <w:rFonts w:hint="eastAsia"/>
        </w:rPr>
        <w:t>应急准备和响应</w:t>
      </w:r>
    </w:p>
    <w:p w14:paraId="6BC2A7B1">
      <w:pPr>
        <w:pStyle w:val="65"/>
        <w:spacing w:before="120" w:after="120"/>
      </w:pPr>
      <w:r>
        <w:rPr>
          <w:rFonts w:hint="eastAsia"/>
        </w:rPr>
        <w:t>应急预案制定</w:t>
      </w:r>
    </w:p>
    <w:p w14:paraId="25A8146F">
      <w:pPr>
        <w:pStyle w:val="56"/>
        <w:ind w:firstLine="420"/>
      </w:pPr>
      <w:r>
        <w:rPr>
          <w:rFonts w:hint="eastAsia"/>
        </w:rPr>
        <w:t>识别可能影响碳计量工作的潜在紧急情况，如设备故障、数据丢失、自然灾害等，制定相应应急预案，明确应急处置流程、责任分工、应急资源等内容。</w:t>
      </w:r>
    </w:p>
    <w:p w14:paraId="3C24A5CA">
      <w:pPr>
        <w:pStyle w:val="65"/>
        <w:spacing w:before="120" w:after="120"/>
      </w:pPr>
      <w:r>
        <w:rPr>
          <w:rFonts w:hint="eastAsia"/>
        </w:rPr>
        <w:t>应急演练与改进</w:t>
      </w:r>
    </w:p>
    <w:p w14:paraId="64F90A73">
      <w:pPr>
        <w:pStyle w:val="56"/>
        <w:ind w:firstLine="420"/>
      </w:pPr>
      <w:r>
        <w:rPr>
          <w:rFonts w:hint="eastAsia"/>
        </w:rPr>
        <w:t>定期组织应急演练，检验应急预案可行性和有效性，提高员工应对紧急情况能力。对应急演练效果进行评估，根据演练中发现的问题及时修订完善应急预案。</w:t>
      </w:r>
    </w:p>
    <w:p w14:paraId="4112D656">
      <w:pPr>
        <w:pStyle w:val="104"/>
        <w:spacing w:before="240" w:after="240"/>
      </w:pPr>
      <w:bookmarkStart w:id="54" w:name="_Toc215595176"/>
      <w:r>
        <w:rPr>
          <w:rFonts w:hint="eastAsia"/>
        </w:rPr>
        <w:t>绩效评价</w:t>
      </w:r>
      <w:bookmarkEnd w:id="54"/>
    </w:p>
    <w:p w14:paraId="0AB5850D">
      <w:pPr>
        <w:pStyle w:val="105"/>
        <w:spacing w:before="120" w:after="120"/>
      </w:pPr>
      <w:r>
        <w:rPr>
          <w:rFonts w:hint="eastAsia"/>
        </w:rPr>
        <w:t>监视、测量、分析和评价</w:t>
      </w:r>
    </w:p>
    <w:p w14:paraId="70BDF519">
      <w:pPr>
        <w:pStyle w:val="65"/>
        <w:spacing w:before="120" w:after="120"/>
      </w:pPr>
      <w:r>
        <w:rPr>
          <w:rFonts w:hint="eastAsia"/>
        </w:rPr>
        <w:t>碳计量过程控制</w:t>
      </w:r>
    </w:p>
    <w:p w14:paraId="4270B4D2">
      <w:pPr>
        <w:pStyle w:val="56"/>
        <w:ind w:firstLine="420"/>
      </w:pPr>
      <w:r>
        <w:rPr>
          <w:rFonts w:hint="eastAsia"/>
        </w:rPr>
        <w:t>建立碳计量数据监控系统，实时监测数据采集、传输、存储过程，通过设置数据阈值、数据比对等功能及时发现数据异常，定期复测重要碳计量数据验证准确性和可靠性。</w:t>
      </w:r>
    </w:p>
    <w:p w14:paraId="78D5B620">
      <w:pPr>
        <w:pStyle w:val="65"/>
        <w:spacing w:before="120" w:after="120"/>
      </w:pPr>
      <w:r>
        <w:rPr>
          <w:rFonts w:hint="eastAsia"/>
        </w:rPr>
        <w:t>体系运行监测</w:t>
      </w:r>
    </w:p>
    <w:p w14:paraId="39B8E1A9">
      <w:pPr>
        <w:pStyle w:val="56"/>
        <w:ind w:firstLine="420"/>
      </w:pPr>
      <w:r>
        <w:rPr>
          <w:rFonts w:hint="eastAsia"/>
        </w:rPr>
        <w:t>制定碳计量管理体系运行检查计划，定期检查体系运行情况，检查内容包括体系文件执行、各部门和岗位职责履行、碳计量过程控制、设备设施维护管理、相关方管理等。通过内部审核、管理评审、日常巡查等方式收集体系运行信息，发现体系运行问题和不足。</w:t>
      </w:r>
    </w:p>
    <w:p w14:paraId="04B5E9F0">
      <w:pPr>
        <w:pStyle w:val="65"/>
        <w:spacing w:before="120" w:after="120"/>
      </w:pPr>
      <w:r>
        <w:rPr>
          <w:rFonts w:hint="eastAsia"/>
        </w:rPr>
        <w:t>数据分析与评价</w:t>
      </w:r>
    </w:p>
    <w:p w14:paraId="51DC51FC">
      <w:pPr>
        <w:pStyle w:val="56"/>
        <w:ind w:firstLine="420"/>
      </w:pPr>
      <w:r>
        <w:rPr>
          <w:rFonts w:hint="eastAsia"/>
        </w:rPr>
        <w:t>运用数据分析工具和方法，对碳计量数据和体系运行数据进行深入分析，分析数据变化趋势、相关性、异常情况等，找出影响碳排放关键因素和体系运行薄弱环节。根据数据分析结果评价碳计量管理体系有效性，评价内容包括碳计量目标实现程度、碳计量数据准确性和可靠性、体系运行效率和效果、相关方满意度等。</w:t>
      </w:r>
    </w:p>
    <w:p w14:paraId="0C421A6D">
      <w:pPr>
        <w:pStyle w:val="105"/>
        <w:spacing w:before="120" w:after="120"/>
      </w:pPr>
      <w:r>
        <w:rPr>
          <w:rFonts w:hint="eastAsia"/>
        </w:rPr>
        <w:t>与法律法规及其他要求合规性的评价</w:t>
      </w:r>
    </w:p>
    <w:p w14:paraId="5EFC6DF6">
      <w:pPr>
        <w:pStyle w:val="56"/>
        <w:ind w:firstLine="420"/>
      </w:pPr>
      <w:r>
        <w:rPr>
          <w:rFonts w:hint="eastAsia"/>
        </w:rPr>
        <w:t>重点排放单位应定期评价本单位对与碳计量管理相关的法律法规和其他要求的遵守情况。重点排放单位应保存合规性评价结果的记录。</w:t>
      </w:r>
    </w:p>
    <w:p w14:paraId="15135036">
      <w:pPr>
        <w:pStyle w:val="105"/>
        <w:spacing w:before="120" w:after="120"/>
      </w:pPr>
      <w:r>
        <w:rPr>
          <w:rFonts w:hint="eastAsia"/>
        </w:rPr>
        <w:t>内部审核</w:t>
      </w:r>
    </w:p>
    <w:p w14:paraId="20F8D2EE">
      <w:pPr>
        <w:pStyle w:val="65"/>
        <w:spacing w:before="120" w:after="120"/>
      </w:pPr>
      <w:r>
        <w:rPr>
          <w:rFonts w:hint="eastAsia"/>
        </w:rPr>
        <w:t>审核计划制定</w:t>
      </w:r>
    </w:p>
    <w:p w14:paraId="04C0A77E">
      <w:pPr>
        <w:pStyle w:val="56"/>
        <w:ind w:firstLine="420"/>
      </w:pPr>
      <w:r>
        <w:rPr>
          <w:rFonts w:hint="eastAsia"/>
        </w:rPr>
        <w:t>制定年度内部审核计划，明确审核目的、范围、准则、频次和方法等，审核计划应覆盖碳计量管理体系所有要素和部门，确保审核全面有效。</w:t>
      </w:r>
    </w:p>
    <w:p w14:paraId="6DE634A2">
      <w:pPr>
        <w:pStyle w:val="56"/>
        <w:ind w:firstLine="420"/>
      </w:pPr>
      <w:r>
        <w:rPr>
          <w:rFonts w:hint="eastAsia"/>
        </w:rPr>
        <w:t>内部审核前应制定审核计划，审核计划至少包括：</w:t>
      </w:r>
    </w:p>
    <w:p w14:paraId="337E1CF8">
      <w:pPr>
        <w:pStyle w:val="132"/>
      </w:pPr>
      <w:r>
        <w:rPr>
          <w:rFonts w:hint="eastAsia"/>
        </w:rPr>
        <w:t>审核目的；</w:t>
      </w:r>
    </w:p>
    <w:p w14:paraId="082A2226">
      <w:pPr>
        <w:pStyle w:val="132"/>
      </w:pPr>
      <w:r>
        <w:rPr>
          <w:rFonts w:hint="eastAsia"/>
        </w:rPr>
        <w:t>审核依据；</w:t>
      </w:r>
    </w:p>
    <w:p w14:paraId="536CCD4B">
      <w:pPr>
        <w:pStyle w:val="132"/>
      </w:pPr>
      <w:r>
        <w:rPr>
          <w:rFonts w:hint="eastAsia"/>
        </w:rPr>
        <w:t>审核范围；</w:t>
      </w:r>
    </w:p>
    <w:p w14:paraId="100C86A6">
      <w:pPr>
        <w:pStyle w:val="132"/>
      </w:pPr>
      <w:r>
        <w:rPr>
          <w:rFonts w:hint="eastAsia"/>
        </w:rPr>
        <w:t>审核组组成；</w:t>
      </w:r>
    </w:p>
    <w:p w14:paraId="4B963DF5">
      <w:pPr>
        <w:pStyle w:val="132"/>
      </w:pPr>
      <w:r>
        <w:rPr>
          <w:rFonts w:hint="eastAsia"/>
        </w:rPr>
        <w:t>审核日程等。</w:t>
      </w:r>
    </w:p>
    <w:p w14:paraId="5DD3CDEC">
      <w:pPr>
        <w:pStyle w:val="65"/>
        <w:spacing w:before="120" w:after="120"/>
      </w:pPr>
      <w:r>
        <w:rPr>
          <w:rFonts w:hint="eastAsia"/>
        </w:rPr>
        <w:t>审核实施</w:t>
      </w:r>
    </w:p>
    <w:p w14:paraId="218FC27C">
      <w:pPr>
        <w:pStyle w:val="56"/>
        <w:ind w:firstLine="420"/>
      </w:pPr>
      <w:r>
        <w:rPr>
          <w:rFonts w:hint="eastAsia"/>
        </w:rPr>
        <w:t>按照审核计划组织实施内部审核，审核人员具备相应专业知识和技能，保持客观公正。审核过程中通过查阅文件、记录，现场观察，与相关人员交流等方式收集审核证据，发现不符合项。</w:t>
      </w:r>
    </w:p>
    <w:p w14:paraId="2324CA2B">
      <w:pPr>
        <w:pStyle w:val="65"/>
        <w:spacing w:before="120" w:after="120"/>
      </w:pPr>
      <w:r>
        <w:rPr>
          <w:rFonts w:hint="eastAsia"/>
        </w:rPr>
        <w:t>审核报告与整改</w:t>
      </w:r>
    </w:p>
    <w:p w14:paraId="556C9329">
      <w:pPr>
        <w:pStyle w:val="56"/>
        <w:ind w:firstLine="420"/>
      </w:pPr>
      <w:r>
        <w:rPr>
          <w:rFonts w:hint="eastAsia"/>
        </w:rPr>
        <w:t>编写内部审核报告，总结评价审核结果，提出不符合项及整改建议。责任部门针对不符合项制定整改措施，明确整改责任人、整改期限和整改要求，确保不符合项及时有效整改。</w:t>
      </w:r>
    </w:p>
    <w:p w14:paraId="415666EF">
      <w:pPr>
        <w:pStyle w:val="56"/>
        <w:ind w:firstLine="420"/>
      </w:pPr>
      <w:r>
        <w:rPr>
          <w:rFonts w:hint="eastAsia"/>
        </w:rPr>
        <w:t>重点排放单位应将内部审核的结果形成报告，审核报告至少包括：</w:t>
      </w:r>
    </w:p>
    <w:p w14:paraId="2AB7ACE7">
      <w:pPr>
        <w:pStyle w:val="132"/>
      </w:pPr>
      <w:r>
        <w:rPr>
          <w:rFonts w:hint="eastAsia"/>
        </w:rPr>
        <w:t>审核过程概述；</w:t>
      </w:r>
    </w:p>
    <w:p w14:paraId="6370D7BB">
      <w:pPr>
        <w:pStyle w:val="132"/>
      </w:pPr>
      <w:r>
        <w:rPr>
          <w:rFonts w:hint="eastAsia"/>
        </w:rPr>
        <w:t>不符合项说明；</w:t>
      </w:r>
    </w:p>
    <w:p w14:paraId="7B111B83">
      <w:pPr>
        <w:pStyle w:val="132"/>
      </w:pPr>
      <w:r>
        <w:rPr>
          <w:rFonts w:hint="eastAsia"/>
        </w:rPr>
        <w:t>审核结论等。</w:t>
      </w:r>
    </w:p>
    <w:p w14:paraId="5A597716">
      <w:pPr>
        <w:pStyle w:val="105"/>
        <w:spacing w:before="120" w:after="120"/>
      </w:pPr>
      <w:r>
        <w:rPr>
          <w:rFonts w:hint="eastAsia"/>
        </w:rPr>
        <w:t>管理评审</w:t>
      </w:r>
    </w:p>
    <w:p w14:paraId="353A62A1">
      <w:pPr>
        <w:pStyle w:val="65"/>
        <w:spacing w:before="120" w:after="120"/>
      </w:pPr>
      <w:r>
        <w:rPr>
          <w:rFonts w:hint="eastAsia"/>
        </w:rPr>
        <w:t>评审输入准备</w:t>
      </w:r>
    </w:p>
    <w:p w14:paraId="1BE699F3">
      <w:pPr>
        <w:pStyle w:val="56"/>
        <w:ind w:firstLine="420"/>
      </w:pPr>
      <w:r>
        <w:rPr>
          <w:rFonts w:hint="eastAsia"/>
        </w:rPr>
        <w:t>最高管理者定期组织管理评审，管理评审输入包括内部审核结果、碳计量目标实现情况、碳计量数据准确性和可靠性、相关方反馈意见、体系运行问题及改进建议、法律法规和政策变化等信息。</w:t>
      </w:r>
    </w:p>
    <w:p w14:paraId="78ACC27C">
      <w:pPr>
        <w:pStyle w:val="56"/>
        <w:ind w:firstLine="420"/>
      </w:pPr>
      <w:r>
        <w:rPr>
          <w:rFonts w:hint="eastAsia"/>
        </w:rPr>
        <w:t>管理评审的输入至少应考虑以下事项：</w:t>
      </w:r>
    </w:p>
    <w:p w14:paraId="16AE0CA1">
      <w:pPr>
        <w:pStyle w:val="132"/>
      </w:pPr>
      <w:r>
        <w:rPr>
          <w:rFonts w:hint="eastAsia"/>
        </w:rPr>
        <w:t>以往管理评审的后续措施；</w:t>
      </w:r>
    </w:p>
    <w:p w14:paraId="2E274073">
      <w:pPr>
        <w:pStyle w:val="132"/>
      </w:pPr>
      <w:r>
        <w:rPr>
          <w:rFonts w:hint="eastAsia"/>
        </w:rPr>
        <w:t>碳计量管理方针的评审；</w:t>
      </w:r>
    </w:p>
    <w:p w14:paraId="32E04BF4">
      <w:pPr>
        <w:pStyle w:val="132"/>
      </w:pPr>
      <w:r>
        <w:rPr>
          <w:rFonts w:hint="eastAsia"/>
        </w:rPr>
        <w:t>碳计量管理绩效的评审；</w:t>
      </w:r>
    </w:p>
    <w:p w14:paraId="61CE90C0">
      <w:pPr>
        <w:pStyle w:val="132"/>
      </w:pPr>
      <w:r>
        <w:rPr>
          <w:rFonts w:hint="eastAsia"/>
        </w:rPr>
        <w:t>合规性评价的结果以及重点排放单位应遵守的法律法规和其他要求的变化；</w:t>
      </w:r>
    </w:p>
    <w:p w14:paraId="4C941008">
      <w:pPr>
        <w:pStyle w:val="132"/>
      </w:pPr>
      <w:r>
        <w:rPr>
          <w:rFonts w:hint="eastAsia"/>
        </w:rPr>
        <w:t>碳计量管理控制目标和指标的实现程度；</w:t>
      </w:r>
    </w:p>
    <w:p w14:paraId="6737ED87">
      <w:pPr>
        <w:pStyle w:val="132"/>
      </w:pPr>
      <w:r>
        <w:rPr>
          <w:rFonts w:hint="eastAsia"/>
        </w:rPr>
        <w:t>碳计量信息交流情况；</w:t>
      </w:r>
    </w:p>
    <w:p w14:paraId="67A04016">
      <w:pPr>
        <w:pStyle w:val="132"/>
      </w:pPr>
      <w:r>
        <w:rPr>
          <w:rFonts w:hint="eastAsia"/>
        </w:rPr>
        <w:t>碳计量管理体系的审核结果；</w:t>
      </w:r>
    </w:p>
    <w:p w14:paraId="09C7895A">
      <w:pPr>
        <w:pStyle w:val="132"/>
      </w:pPr>
      <w:r>
        <w:rPr>
          <w:rFonts w:hint="eastAsia"/>
        </w:rPr>
        <w:t>纠正措施和预防措施的实施情况；</w:t>
      </w:r>
    </w:p>
    <w:p w14:paraId="46ECF0C0">
      <w:pPr>
        <w:pStyle w:val="132"/>
      </w:pPr>
      <w:r>
        <w:rPr>
          <w:rFonts w:hint="eastAsia"/>
        </w:rPr>
        <w:t>对下一阶段碳计量管理绩效的规划；</w:t>
      </w:r>
    </w:p>
    <w:p w14:paraId="0ADCD24A">
      <w:pPr>
        <w:pStyle w:val="132"/>
      </w:pPr>
      <w:r>
        <w:rPr>
          <w:rFonts w:hint="eastAsia"/>
        </w:rPr>
        <w:t>改进建议。</w:t>
      </w:r>
    </w:p>
    <w:p w14:paraId="547C20DF">
      <w:pPr>
        <w:pStyle w:val="65"/>
        <w:spacing w:before="120" w:after="120"/>
      </w:pPr>
      <w:r>
        <w:rPr>
          <w:rFonts w:hint="eastAsia"/>
        </w:rPr>
        <w:t>评审实施</w:t>
      </w:r>
    </w:p>
    <w:p w14:paraId="3905E97F">
      <w:pPr>
        <w:pStyle w:val="56"/>
        <w:ind w:firstLine="420"/>
      </w:pPr>
      <w:r>
        <w:rPr>
          <w:rFonts w:hint="eastAsia"/>
        </w:rPr>
        <w:t>召开管理评审会议，充分讨论分析管理评审输入信息，评价碳计量管理体系适宜性、充分性和有效性，确定改进方向和措施。</w:t>
      </w:r>
    </w:p>
    <w:p w14:paraId="32DB88DA">
      <w:pPr>
        <w:pStyle w:val="65"/>
        <w:spacing w:before="120" w:after="120"/>
      </w:pPr>
      <w:r>
        <w:rPr>
          <w:rFonts w:hint="eastAsia"/>
        </w:rPr>
        <w:t>评审输出落实</w:t>
      </w:r>
    </w:p>
    <w:p w14:paraId="2B1DD343">
      <w:pPr>
        <w:pStyle w:val="56"/>
        <w:ind w:firstLine="420"/>
      </w:pPr>
      <w:r>
        <w:rPr>
          <w:rFonts w:hint="eastAsia"/>
        </w:rPr>
        <w:t>根据管理评审结果形成管理评审输出文件，包括改进措施、资源需求、目标调整等内容。责任部门按照管理评审输出要求组织实施改进措施，确保管理评审成果有效落实。</w:t>
      </w:r>
    </w:p>
    <w:p w14:paraId="323E706E">
      <w:pPr>
        <w:pStyle w:val="56"/>
        <w:ind w:firstLine="420"/>
      </w:pPr>
      <w:r>
        <w:rPr>
          <w:rFonts w:hint="eastAsia"/>
        </w:rPr>
        <w:t>管理评审的输出应包括：</w:t>
      </w:r>
    </w:p>
    <w:p w14:paraId="206C038E">
      <w:pPr>
        <w:pStyle w:val="132"/>
      </w:pPr>
      <w:r>
        <w:rPr>
          <w:rFonts w:hint="eastAsia"/>
        </w:rPr>
        <w:t>对重点排放单位碳计量管理体系适宜性、充分性和有效性的总体评价；</w:t>
      </w:r>
    </w:p>
    <w:p w14:paraId="6AD11F06">
      <w:pPr>
        <w:pStyle w:val="132"/>
      </w:pPr>
      <w:r>
        <w:rPr>
          <w:rFonts w:hint="eastAsia"/>
        </w:rPr>
        <w:t>碳计量管理方针的变化；</w:t>
      </w:r>
    </w:p>
    <w:p w14:paraId="73A00B1C">
      <w:pPr>
        <w:pStyle w:val="132"/>
      </w:pPr>
      <w:r>
        <w:rPr>
          <w:rFonts w:hint="eastAsia"/>
        </w:rPr>
        <w:t>碳计量管理体系的目标、指标和其他要素的调整；</w:t>
      </w:r>
    </w:p>
    <w:p w14:paraId="5DD71A98">
      <w:pPr>
        <w:pStyle w:val="132"/>
      </w:pPr>
      <w:r>
        <w:rPr>
          <w:rFonts w:hint="eastAsia"/>
        </w:rPr>
        <w:t>与持续改进机会有关的决策；</w:t>
      </w:r>
    </w:p>
    <w:p w14:paraId="202428F0">
      <w:pPr>
        <w:pStyle w:val="132"/>
      </w:pPr>
      <w:r>
        <w:rPr>
          <w:rFonts w:hint="eastAsia"/>
        </w:rPr>
        <w:t>与碳计量管理体系变更的任何需求相关的决策。</w:t>
      </w:r>
    </w:p>
    <w:p w14:paraId="2643525C">
      <w:pPr>
        <w:pStyle w:val="104"/>
        <w:spacing w:before="240" w:after="240"/>
      </w:pPr>
      <w:bookmarkStart w:id="55" w:name="_Toc215595177"/>
      <w:r>
        <w:rPr>
          <w:rFonts w:hint="eastAsia"/>
        </w:rPr>
        <w:t>改进</w:t>
      </w:r>
      <w:bookmarkEnd w:id="55"/>
    </w:p>
    <w:p w14:paraId="7FBB5EB9">
      <w:pPr>
        <w:pStyle w:val="105"/>
        <w:spacing w:before="120" w:after="120"/>
      </w:pPr>
      <w:r>
        <w:rPr>
          <w:rFonts w:hint="eastAsia"/>
        </w:rPr>
        <w:t>不符合和纠正措施</w:t>
      </w:r>
    </w:p>
    <w:p w14:paraId="522DCE1A">
      <w:pPr>
        <w:pStyle w:val="65"/>
        <w:spacing w:before="120" w:after="120"/>
      </w:pPr>
      <w:r>
        <w:rPr>
          <w:rFonts w:hint="eastAsia"/>
        </w:rPr>
        <w:t>不符合识别</w:t>
      </w:r>
    </w:p>
    <w:p w14:paraId="42488EB1">
      <w:pPr>
        <w:pStyle w:val="56"/>
        <w:ind w:firstLine="420"/>
      </w:pPr>
      <w:r>
        <w:rPr>
          <w:rFonts w:hint="eastAsia"/>
        </w:rPr>
        <w:t>及时识别碳计量管理体系运行中出现的不符合情况，包括碳计量数据异常、体系文件执行不到位、相关方投诉等。</w:t>
      </w:r>
    </w:p>
    <w:p w14:paraId="7496EE92">
      <w:pPr>
        <w:pStyle w:val="65"/>
        <w:spacing w:before="120" w:after="120"/>
      </w:pPr>
      <w:r>
        <w:rPr>
          <w:rFonts w:hint="eastAsia"/>
        </w:rPr>
        <w:t>原因分析与纠正措施制定</w:t>
      </w:r>
    </w:p>
    <w:p w14:paraId="5D4B41CF">
      <w:pPr>
        <w:pStyle w:val="56"/>
        <w:ind w:firstLine="420"/>
      </w:pPr>
      <w:r>
        <w:rPr>
          <w:rFonts w:hint="eastAsia"/>
        </w:rPr>
        <w:t>对不符合情况深入调查分析，确定不符合产生原因，针对原因制定相应纠正措施，消除不符合产生根源，防止不符合再次发生。</w:t>
      </w:r>
    </w:p>
    <w:p w14:paraId="2B289C42">
      <w:pPr>
        <w:pStyle w:val="65"/>
        <w:spacing w:before="120" w:after="120"/>
      </w:pPr>
      <w:r>
        <w:rPr>
          <w:rFonts w:hint="eastAsia"/>
        </w:rPr>
        <w:t>纠正措施实施与验证</w:t>
      </w:r>
    </w:p>
    <w:p w14:paraId="4FFF65B2">
      <w:pPr>
        <w:pStyle w:val="56"/>
        <w:ind w:firstLine="420"/>
      </w:pPr>
      <w:r>
        <w:rPr>
          <w:rFonts w:hint="eastAsia"/>
        </w:rPr>
        <w:t>责任部门按照纠正措施计划组织实施纠正措施，并跟踪验证实施效果，确保纠正措施有效。</w:t>
      </w:r>
    </w:p>
    <w:p w14:paraId="13ED2FB7">
      <w:pPr>
        <w:pStyle w:val="105"/>
        <w:spacing w:before="120" w:after="120"/>
      </w:pPr>
      <w:r>
        <w:rPr>
          <w:rFonts w:hint="eastAsia"/>
        </w:rPr>
        <w:t>持续改进</w:t>
      </w:r>
    </w:p>
    <w:p w14:paraId="0D4C2EFD">
      <w:pPr>
        <w:pStyle w:val="65"/>
        <w:spacing w:before="120" w:after="120"/>
      </w:pPr>
      <w:r>
        <w:rPr>
          <w:rFonts w:hint="eastAsia"/>
        </w:rPr>
        <w:t>改进机制建立</w:t>
      </w:r>
    </w:p>
    <w:p w14:paraId="3EB35988">
      <w:pPr>
        <w:pStyle w:val="56"/>
        <w:ind w:firstLine="420"/>
      </w:pPr>
      <w:r>
        <w:rPr>
          <w:rFonts w:hint="eastAsia"/>
        </w:rPr>
        <w:t>树立持续改进理念，贯穿碳计量管理体系建设和运行全过程。建立持续改进组织架构和工作流程，明确改进责任部门和人员，鼓励全体员工积极参与改进活动，提出改进建议和意见。</w:t>
      </w:r>
    </w:p>
    <w:p w14:paraId="017E8409">
      <w:pPr>
        <w:pStyle w:val="65"/>
        <w:spacing w:before="120" w:after="120"/>
      </w:pPr>
      <w:r>
        <w:rPr>
          <w:rFonts w:hint="eastAsia"/>
        </w:rPr>
        <w:t>改进机会识别与实施</w:t>
      </w:r>
    </w:p>
    <w:p w14:paraId="56EDD96E">
      <w:pPr>
        <w:pStyle w:val="56"/>
        <w:ind w:firstLine="420"/>
      </w:pPr>
      <w:r>
        <w:rPr>
          <w:rFonts w:hint="eastAsia"/>
        </w:rPr>
        <w:t>通过对碳计量管理体系运行数据分析、内部审核和管理评审结果、相关方反馈等途径识别改进机会，制定改进方案并组织实施，不断优化碳计量管理体系，提高碳计量工作水平。</w:t>
      </w:r>
    </w:p>
    <w:p w14:paraId="7DBB2C38">
      <w:pPr>
        <w:pStyle w:val="56"/>
        <w:ind w:firstLine="420"/>
      </w:pPr>
    </w:p>
    <w:p w14:paraId="1B172938">
      <w:pPr>
        <w:pStyle w:val="56"/>
        <w:ind w:firstLine="420"/>
      </w:pPr>
    </w:p>
    <w:bookmarkEnd w:id="24"/>
    <w:p w14:paraId="086F0159">
      <w:pPr>
        <w:pStyle w:val="56"/>
        <w:ind w:firstLine="420"/>
        <w:sectPr>
          <w:pgSz w:w="11906" w:h="16838"/>
          <w:pgMar w:top="1928" w:right="1134" w:bottom="1134" w:left="1134" w:header="1418" w:footer="1134" w:gutter="284"/>
          <w:pgNumType w:start="1"/>
          <w:cols w:space="425" w:num="1"/>
          <w:formProt w:val="0"/>
          <w:docGrid w:linePitch="312" w:charSpace="0"/>
        </w:sectPr>
      </w:pPr>
      <w:bookmarkStart w:id="56" w:name="BookMark6"/>
    </w:p>
    <w:p w14:paraId="1532525D">
      <w:pPr>
        <w:pStyle w:val="63"/>
        <w:spacing w:after="120"/>
      </w:pPr>
      <w:bookmarkStart w:id="57" w:name="_Toc215595178"/>
      <w:r>
        <w:rPr>
          <w:rFonts w:hint="eastAsia"/>
          <w:spacing w:val="105"/>
        </w:rPr>
        <w:t>参考文</w:t>
      </w:r>
      <w:r>
        <w:rPr>
          <w:rFonts w:hint="eastAsia"/>
        </w:rPr>
        <w:t>献</w:t>
      </w:r>
      <w:bookmarkEnd w:id="57"/>
    </w:p>
    <w:p w14:paraId="5B941B78">
      <w:pPr>
        <w:pStyle w:val="56"/>
        <w:ind w:firstLine="420"/>
      </w:pPr>
      <w:r>
        <w:rPr>
          <w:rFonts w:hint="eastAsia"/>
        </w:rPr>
        <w:t>[1]  GB/T 23331-2020 能源管理体系 要求及使用指南</w:t>
      </w:r>
    </w:p>
    <w:p w14:paraId="5BEEB118">
      <w:pPr>
        <w:pStyle w:val="56"/>
        <w:ind w:firstLine="420"/>
      </w:pPr>
      <w:r>
        <w:rPr>
          <w:rFonts w:hint="eastAsia"/>
        </w:rPr>
        <w:t>[2]  GB 17167-2025 用能单位能源计量器具配备和管理通则</w:t>
      </w:r>
    </w:p>
    <w:p w14:paraId="409D9586">
      <w:pPr>
        <w:pStyle w:val="56"/>
        <w:ind w:firstLine="420"/>
      </w:pPr>
      <w:r>
        <w:rPr>
          <w:rFonts w:hint="eastAsia"/>
        </w:rPr>
        <w:t>[3]  JJF 1356-2012 重点用能单位能源计量审查规范</w:t>
      </w:r>
    </w:p>
    <w:p w14:paraId="1D31241D">
      <w:pPr>
        <w:pStyle w:val="56"/>
        <w:ind w:firstLine="420"/>
      </w:pPr>
    </w:p>
    <w:bookmarkEnd w:id="56"/>
    <w:p w14:paraId="6B7CED07">
      <w:pPr>
        <w:pStyle w:val="56"/>
        <w:ind w:firstLine="0" w:firstLineChars="0"/>
        <w:jc w:val="center"/>
      </w:pPr>
      <w:bookmarkStart w:id="58" w:name="BookMark8"/>
      <w:r>
        <w:drawing>
          <wp:inline distT="0" distB="0" distL="0" distR="0">
            <wp:extent cx="1485900" cy="317500"/>
            <wp:effectExtent l="0" t="0" r="0" b="6350"/>
            <wp:docPr id="848979919" name="图片 1"/>
            <wp:cNvGraphicFramePr/>
            <a:graphic xmlns:a="http://schemas.openxmlformats.org/drawingml/2006/main">
              <a:graphicData uri="http://schemas.openxmlformats.org/drawingml/2006/picture">
                <pic:pic xmlns:pic="http://schemas.openxmlformats.org/drawingml/2006/picture">
                  <pic:nvPicPr>
                    <pic:cNvPr id="848979919"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60F62">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5EF2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102D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51B7D">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074F4">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F2C2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3F51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7C1B4">
    <w:pPr>
      <w:pStyle w:val="61"/>
      <w:rPr>
        <w:rFonts w:hint="eastAsia"/>
      </w:rPr>
    </w:pPr>
    <w:r>
      <w:fldChar w:fldCharType="begin"/>
    </w:r>
    <w:r>
      <w:instrText xml:space="preserve"> STYLEREF  标准文件_文件编号  \* MERGEFORMAT </w:instrText>
    </w:r>
    <w:r>
      <w:fldChar w:fldCharType="separate"/>
    </w:r>
    <w:r>
      <w:t>T/XJZJXH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3998E">
    <w:pPr>
      <w:pStyle w:val="18"/>
      <w:jc w:val="right"/>
    </w:pPr>
    <w:r>
      <w:fldChar w:fldCharType="begin"/>
    </w:r>
    <w:r>
      <w:instrText xml:space="preserve"> STYLEREF  标准文件_文件编号  \* MERGEFORMAT </w:instrText>
    </w:r>
    <w:r>
      <w:fldChar w:fldCharType="separate"/>
    </w:r>
    <w:r>
      <w:t>T/XJZJXH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lang w:val="en-US"/>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dit="forms" w:enforcement="1" w:cryptProviderType="rsaAES" w:cryptAlgorithmClass="hash" w:cryptAlgorithmType="typeAny" w:cryptAlgorithmSid="14" w:cryptSpinCount="100000" w:hash="YwkXn5srZ9ayNWHA4xsWi9rDbHcV3/UbtNxMr2X0txS6cRyHo7PrMKvWoBBuqaiLkxJR4YkahIbF/2T0GvWYpg==" w:salt="n+VxDrBlvDSNfOhddcpN0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859"/>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70D"/>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DEA"/>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EB"/>
    <w:rsid w:val="00561475"/>
    <w:rsid w:val="00562308"/>
    <w:rsid w:val="0056487B"/>
    <w:rsid w:val="00564FB9"/>
    <w:rsid w:val="00573D9E"/>
    <w:rsid w:val="005801E3"/>
    <w:rsid w:val="00581802"/>
    <w:rsid w:val="005836A8"/>
    <w:rsid w:val="0058409C"/>
    <w:rsid w:val="00584262"/>
    <w:rsid w:val="00585D00"/>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3F0"/>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339"/>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720E"/>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77A8"/>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76A"/>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780"/>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859"/>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2D72"/>
    <w:rsid w:val="00D66846"/>
    <w:rsid w:val="00D675FB"/>
    <w:rsid w:val="00D71F25"/>
    <w:rsid w:val="00D72A9C"/>
    <w:rsid w:val="00D74AC6"/>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2D0"/>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201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492"/>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B564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A0135BBEF4249A3B75861AE5449DAB2"/>
        <w:style w:val=""/>
        <w:category>
          <w:name w:val="常规"/>
          <w:gallery w:val="placeholder"/>
        </w:category>
        <w:types>
          <w:type w:val="bbPlcHdr"/>
        </w:types>
        <w:behaviors>
          <w:behavior w:val="content"/>
        </w:behaviors>
        <w:description w:val=""/>
        <w:guid w:val="{2C471512-AC45-48BC-A0D9-7BD4425587F9}"/>
      </w:docPartPr>
      <w:docPartBody>
        <w:p w14:paraId="08635EC0">
          <w:pPr>
            <w:pStyle w:val="5"/>
            <w:rPr>
              <w:rFonts w:hint="eastAsia"/>
            </w:rPr>
          </w:pPr>
          <w:r>
            <w:rPr>
              <w:rStyle w:val="4"/>
              <w:rFonts w:hint="eastAsia"/>
            </w:rPr>
            <w:t>单击或点击此处输入文字。</w:t>
          </w:r>
        </w:p>
      </w:docPartBody>
    </w:docPart>
    <w:docPart>
      <w:docPartPr>
        <w:name w:val="0F9EC3DBE80444098CDC60318711D6E7"/>
        <w:style w:val=""/>
        <w:category>
          <w:name w:val="常规"/>
          <w:gallery w:val="placeholder"/>
        </w:category>
        <w:types>
          <w:type w:val="bbPlcHdr"/>
        </w:types>
        <w:behaviors>
          <w:behavior w:val="content"/>
        </w:behaviors>
        <w:description w:val=""/>
        <w:guid w:val="{2B4FB82C-74E1-4C6E-B774-0B45B6CEE3AC}"/>
      </w:docPartPr>
      <w:docPartBody>
        <w:p w14:paraId="7A1A52BD">
          <w:pPr>
            <w:pStyle w:val="6"/>
            <w:rPr>
              <w:rFonts w:hint="eastAsia"/>
            </w:rPr>
          </w:pPr>
          <w:r>
            <w:rPr>
              <w:rStyle w:val="4"/>
              <w:rFonts w:hint="eastAsia"/>
            </w:rPr>
            <w:t>选择一项。</w:t>
          </w:r>
        </w:p>
      </w:docPartBody>
    </w:docPart>
    <w:docPart>
      <w:docPartPr>
        <w:name w:val="6211D85FCF334109B7BC4D41CC831796"/>
        <w:style w:val=""/>
        <w:category>
          <w:name w:val="常规"/>
          <w:gallery w:val="placeholder"/>
        </w:category>
        <w:types>
          <w:type w:val="bbPlcHdr"/>
        </w:types>
        <w:behaviors>
          <w:behavior w:val="content"/>
        </w:behaviors>
        <w:description w:val=""/>
        <w:guid w:val="{687F25E5-38E5-4DF0-B8EB-6F19FA7D1552}"/>
      </w:docPartPr>
      <w:docPartBody>
        <w:p w14:paraId="4E1821DC">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090"/>
    <w:rsid w:val="00093D4D"/>
    <w:rsid w:val="002D0DEA"/>
    <w:rsid w:val="00631424"/>
    <w:rsid w:val="00662090"/>
    <w:rsid w:val="00A66B66"/>
    <w:rsid w:val="00B3576A"/>
    <w:rsid w:val="00FD1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3A0135BBEF4249A3B75861AE5449DAB2"/>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F9EC3DBE80444098CDC60318711D6E7"/>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211D85FCF334109B7BC4D41CC831796"/>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11</Pages>
  <Words>5804</Words>
  <Characters>6048</Characters>
  <Lines>52</Lines>
  <Paragraphs>14</Paragraphs>
  <TotalTime>13</TotalTime>
  <ScaleCrop>false</ScaleCrop>
  <LinksUpToDate>false</LinksUpToDate>
  <CharactersWithSpaces>6135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2025-12-02T10:44:00Z</dcterms:created>
  <dc:creator>hello</dc:creator>
  <cp:lastModifiedBy>Marida</cp:lastModifiedBy>
  <cp:lastPrinted>2025-12-02T11:14:00Z</cp:lastPrinted>
  <dcterms:modified xsi:type="dcterms:W3CDTF">2025-12-05T02:45:39Z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6B638108384C4AD3B933B069ACE4C13C_13</vt:lpwstr>
  </property>
</Properties>
</file>